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33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9" w:lineRule="atLeast"/>
        <w:ind w:left="0" w:right="0" w:firstLine="0"/>
        <w:jc w:val="center"/>
        <w:textAlignment w:val="baseline"/>
        <w:rPr>
          <w:rStyle w:val="6"/>
          <w:rFonts w:hint="eastAsia" w:ascii="仿宋" w:hAnsi="仿宋" w:eastAsia="仿宋" w:cs="仿宋"/>
          <w:b/>
          <w:i w:val="0"/>
          <w:iCs w:val="0"/>
          <w:caps w:val="0"/>
          <w:color w:val="000000"/>
          <w:spacing w:val="0"/>
          <w:sz w:val="32"/>
          <w:szCs w:val="32"/>
          <w:bdr w:val="none" w:color="auto" w:sz="0" w:space="0"/>
          <w:shd w:val="clear" w:fill="FFFFFF"/>
          <w:vertAlign w:val="baseline"/>
          <w:lang w:eastAsia="zh-CN"/>
        </w:rPr>
      </w:pPr>
      <w:bookmarkStart w:id="0" w:name="_GoBack"/>
      <w:r>
        <w:rPr>
          <w:rStyle w:val="6"/>
          <w:rFonts w:hint="eastAsia" w:ascii="仿宋" w:hAnsi="仿宋" w:eastAsia="仿宋" w:cs="仿宋"/>
          <w:b/>
          <w:i w:val="0"/>
          <w:iCs w:val="0"/>
          <w:caps w:val="0"/>
          <w:color w:val="000000"/>
          <w:spacing w:val="0"/>
          <w:sz w:val="32"/>
          <w:szCs w:val="32"/>
          <w:bdr w:val="none" w:color="auto" w:sz="0" w:space="0"/>
          <w:shd w:val="clear" w:fill="FFFFFF"/>
          <w:vertAlign w:val="baseline"/>
          <w:lang w:eastAsia="zh-CN"/>
        </w:rPr>
        <w:t>《</w:t>
      </w:r>
      <w:r>
        <w:rPr>
          <w:rStyle w:val="6"/>
          <w:rFonts w:hint="eastAsia" w:ascii="仿宋" w:hAnsi="仿宋" w:eastAsia="仿宋" w:cs="仿宋"/>
          <w:b/>
          <w:i w:val="0"/>
          <w:iCs w:val="0"/>
          <w:caps w:val="0"/>
          <w:color w:val="000000"/>
          <w:spacing w:val="0"/>
          <w:sz w:val="32"/>
          <w:szCs w:val="32"/>
          <w:shd w:val="clear" w:fill="FFFFFF"/>
          <w:vertAlign w:val="baseline"/>
        </w:rPr>
        <w:t>政府采购竞争性磋商采购方式管理暂行办法</w:t>
      </w:r>
      <w:r>
        <w:rPr>
          <w:rStyle w:val="6"/>
          <w:rFonts w:hint="eastAsia" w:ascii="仿宋" w:hAnsi="仿宋" w:eastAsia="仿宋" w:cs="仿宋"/>
          <w:b/>
          <w:i w:val="0"/>
          <w:iCs w:val="0"/>
          <w:caps w:val="0"/>
          <w:color w:val="000000"/>
          <w:spacing w:val="0"/>
          <w:sz w:val="32"/>
          <w:szCs w:val="32"/>
          <w:bdr w:val="none" w:color="auto" w:sz="0" w:space="0"/>
          <w:shd w:val="clear" w:fill="FFFFFF"/>
          <w:vertAlign w:val="baseline"/>
          <w:lang w:eastAsia="zh-CN"/>
        </w:rPr>
        <w:t>》</w:t>
      </w:r>
    </w:p>
    <w:bookmarkEnd w:id="0"/>
    <w:p w14:paraId="06E89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9" w:lineRule="atLeast"/>
        <w:ind w:left="0" w:right="0" w:firstLine="0"/>
        <w:jc w:val="center"/>
        <w:textAlignment w:val="baseline"/>
        <w:rPr>
          <w:rStyle w:val="6"/>
          <w:rFonts w:hint="eastAsia" w:ascii="仿宋" w:hAnsi="仿宋" w:eastAsia="仿宋" w:cs="仿宋"/>
          <w:b/>
          <w:i w:val="0"/>
          <w:iCs w:val="0"/>
          <w:caps w:val="0"/>
          <w:color w:val="000000"/>
          <w:spacing w:val="0"/>
          <w:sz w:val="32"/>
          <w:szCs w:val="32"/>
          <w:shd w:val="clear" w:fill="FFFFFF"/>
          <w:vertAlign w:val="baseline"/>
        </w:rPr>
      </w:pPr>
      <w:r>
        <w:rPr>
          <w:rStyle w:val="6"/>
          <w:rFonts w:hint="eastAsia" w:ascii="仿宋" w:hAnsi="仿宋" w:eastAsia="仿宋" w:cs="仿宋"/>
          <w:b/>
          <w:i w:val="0"/>
          <w:iCs w:val="0"/>
          <w:caps w:val="0"/>
          <w:color w:val="000000"/>
          <w:spacing w:val="0"/>
          <w:sz w:val="32"/>
          <w:szCs w:val="32"/>
          <w:shd w:val="clear" w:fill="FFFFFF"/>
          <w:vertAlign w:val="baseline"/>
        </w:rPr>
        <w:t>财库〔2014〕214号</w:t>
      </w:r>
    </w:p>
    <w:p w14:paraId="44CC7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Style w:val="6"/>
          <w:rFonts w:hint="eastAsia" w:ascii="仿宋" w:hAnsi="仿宋" w:eastAsia="仿宋" w:cs="仿宋"/>
          <w:i w:val="0"/>
          <w:iCs w:val="0"/>
          <w:caps w:val="0"/>
          <w:color w:val="000000"/>
          <w:spacing w:val="0"/>
          <w:sz w:val="28"/>
          <w:szCs w:val="28"/>
          <w:bdr w:val="none" w:color="auto" w:sz="0" w:space="0"/>
          <w:shd w:val="clear" w:fill="FFFFFF"/>
          <w:vertAlign w:val="baseline"/>
        </w:rPr>
      </w:pPr>
    </w:p>
    <w:p w14:paraId="2E586C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rPr>
      </w:pP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第一章  总则</w:t>
      </w:r>
    </w:p>
    <w:p w14:paraId="32546B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第一条</w:t>
      </w:r>
      <w:r>
        <w:rPr>
          <w:rFonts w:hint="eastAsia" w:ascii="仿宋" w:hAnsi="仿宋" w:eastAsia="仿宋" w:cs="仿宋"/>
          <w:i w:val="0"/>
          <w:iCs w:val="0"/>
          <w:caps w:val="0"/>
          <w:color w:val="000000"/>
          <w:spacing w:val="0"/>
          <w:sz w:val="28"/>
          <w:szCs w:val="28"/>
          <w:bdr w:val="none" w:color="auto" w:sz="0" w:space="0"/>
          <w:shd w:val="clear" w:fill="FFFFFF"/>
          <w:vertAlign w:val="baseline"/>
        </w:rPr>
        <w:t>  为了规范政府采购行为，维护国家利益、社会公共利益和政府采购当事人的合法权益，依据《中华人民共和国政府采购法》（以下简称政府采购法）第二十六条第一款第六项规定，制定本办法。</w:t>
      </w:r>
    </w:p>
    <w:p w14:paraId="3C6E3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第二条</w:t>
      </w:r>
      <w:r>
        <w:rPr>
          <w:rFonts w:hint="eastAsia" w:ascii="仿宋" w:hAnsi="仿宋" w:eastAsia="仿宋" w:cs="仿宋"/>
          <w:i w:val="0"/>
          <w:iCs w:val="0"/>
          <w:caps w:val="0"/>
          <w:color w:val="000000"/>
          <w:spacing w:val="0"/>
          <w:sz w:val="28"/>
          <w:szCs w:val="28"/>
          <w:bdr w:val="none" w:color="auto" w:sz="0" w:space="0"/>
          <w:shd w:val="clear" w:fill="FFFFFF"/>
          <w:vertAlign w:val="baseline"/>
        </w:rPr>
        <w:t>  本办法所称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05D7E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第三条</w:t>
      </w:r>
      <w:r>
        <w:rPr>
          <w:rFonts w:hint="eastAsia" w:ascii="仿宋" w:hAnsi="仿宋" w:eastAsia="仿宋" w:cs="仿宋"/>
          <w:i w:val="0"/>
          <w:iCs w:val="0"/>
          <w:caps w:val="0"/>
          <w:color w:val="000000"/>
          <w:spacing w:val="0"/>
          <w:sz w:val="28"/>
          <w:szCs w:val="28"/>
          <w:bdr w:val="none" w:color="auto" w:sz="0" w:space="0"/>
          <w:shd w:val="clear" w:fill="FFFFFF"/>
          <w:vertAlign w:val="baseline"/>
        </w:rPr>
        <w:t>  符合下列情形的项目，可以采用竞争性磋商方式开展采购：</w:t>
      </w:r>
    </w:p>
    <w:p w14:paraId="471FEF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（一）政府购买服务项目；</w:t>
      </w:r>
    </w:p>
    <w:p w14:paraId="1E260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（二）技术复杂或者性质特殊，不能确定详细规格或者具体要求的；</w:t>
      </w:r>
    </w:p>
    <w:p w14:paraId="058C2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（三）因艺术品采购、专利、专有技术或者服务的时间、数量事先不能确定等原因不能事先计算出价格总额的；</w:t>
      </w:r>
    </w:p>
    <w:p w14:paraId="39F32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（四）市场竞争不充分的科研项目，以及需要扶持的科技成果转化项目；</w:t>
      </w:r>
    </w:p>
    <w:p w14:paraId="33321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（五）按照招标投标法及其实施条例必须进行招标的工程建设项目以外的工程建设项目。</w:t>
      </w:r>
    </w:p>
    <w:p w14:paraId="352CF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rPr>
      </w:pP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第二章  磋商程序</w:t>
      </w:r>
    </w:p>
    <w:p w14:paraId="2035B9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第四条</w:t>
      </w:r>
      <w:r>
        <w:rPr>
          <w:rFonts w:hint="eastAsia" w:ascii="仿宋" w:hAnsi="仿宋" w:eastAsia="仿宋" w:cs="仿宋"/>
          <w:i w:val="0"/>
          <w:iCs w:val="0"/>
          <w:caps w:val="0"/>
          <w:color w:val="000000"/>
          <w:spacing w:val="0"/>
          <w:sz w:val="28"/>
          <w:szCs w:val="28"/>
          <w:bdr w:val="none" w:color="auto" w:sz="0" w:space="0"/>
          <w:shd w:val="clear" w:fill="FFFFFF"/>
          <w:vertAlign w:val="baseline"/>
        </w:rPr>
        <w:t>  达到公开招标数额标准的货物、服务采购项目，拟采用竞争性磋商采购方式的，采购人应当在采购活动开始前，报经主管预算单位同意后，依法向设区的市、自治州以上人民政府财政部门申请批准。</w:t>
      </w:r>
    </w:p>
    <w:p w14:paraId="018A5F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第五条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采购人、采购代理机构应当按照政府采购法和本办法的规定组织开展竞争性磋商，并采取必要措施，保证磋商在严格保密的情况下进行。</w:t>
      </w:r>
    </w:p>
    <w:p w14:paraId="6162A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任何单位和个人不得非法干预、影响磋商过程和结果。</w:t>
      </w:r>
    </w:p>
    <w:p w14:paraId="04739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第六条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采购人、采购代理机构应当通过发布公告、从省级以上财政部门建立的供应商库中随机抽取或者采购人和评审专家分别书面推荐的方式邀请不少于3家符合相应资格条件的供应商参与竞争性磋商采购活动。</w:t>
      </w:r>
    </w:p>
    <w:p w14:paraId="0AFF7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符合政府采购法第二十二条第一款规定条件的供应商可以在采购活动开始前加入供应商库。财政部门不得对供应商申请入库收取任何费用，不得利用供应商库进行地区和行业封锁。</w:t>
      </w:r>
    </w:p>
    <w:p w14:paraId="315CB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采取采购人和评审专家书面推荐方式选择供应商的，采购人和评审专家应当各自出具书面推荐意见。采购人推荐供应商的比例不得高于推荐供应商总数的50%。</w:t>
      </w:r>
    </w:p>
    <w:p w14:paraId="0E23E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第七条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采用公告方式邀请供应商的，采购人、采购代理机构应当在省级以上人民政府财政部门指定的政府采购信息发布媒体发布竞争性磋商公告。竞争性磋商公告应当包括以下主要内容：</w:t>
      </w:r>
    </w:p>
    <w:p w14:paraId="4E5E8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（一）采购人、采购代理机构的名称、地点和联系方法；</w:t>
      </w:r>
    </w:p>
    <w:p w14:paraId="10348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（二）采购项目的名称、数量、简要规格描述或项目基本概况介绍；</w:t>
      </w:r>
    </w:p>
    <w:p w14:paraId="61AF7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（三）采购项目的预算；</w:t>
      </w:r>
    </w:p>
    <w:p w14:paraId="53BEB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（四）供应商资格条件；</w:t>
      </w:r>
    </w:p>
    <w:p w14:paraId="2444E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（五）获取磋商文件的时间、地点、方式及磋商文件售价；</w:t>
      </w:r>
    </w:p>
    <w:p w14:paraId="15483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（六）响应文件提交的截止时间、开启时间及地点；</w:t>
      </w:r>
    </w:p>
    <w:p w14:paraId="502E9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（七）采购项目联系人姓名和电话。</w:t>
      </w:r>
    </w:p>
    <w:p w14:paraId="4BB6F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第八条</w:t>
      </w:r>
      <w:r>
        <w:rPr>
          <w:rFonts w:hint="eastAsia" w:ascii="仿宋" w:hAnsi="仿宋" w:eastAsia="仿宋" w:cs="仿宋"/>
          <w:i w:val="0"/>
          <w:iCs w:val="0"/>
          <w:caps w:val="0"/>
          <w:color w:val="000000"/>
          <w:spacing w:val="0"/>
          <w:sz w:val="28"/>
          <w:szCs w:val="28"/>
          <w:bdr w:val="none" w:color="auto" w:sz="0" w:space="0"/>
          <w:shd w:val="clear" w:fill="FFFFFF"/>
          <w:vertAlign w:val="baseline"/>
        </w:rPr>
        <w:t>  竞争性磋商文件（以下简称磋商文件）应当根据采购项目的特点和采购人的实际需求制定，并经采购人书面同意。采购人应当以满足实际需求为原则，不得擅自提高经费预算和资产配置等采购标准。</w:t>
      </w:r>
    </w:p>
    <w:p w14:paraId="41DAD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磋商文件不得要求或者标明供应商名称或者特定货物的品牌，不得含有指向特定供应商的技术、服务等条件。</w:t>
      </w:r>
    </w:p>
    <w:p w14:paraId="777D1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第九条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14:paraId="66CF3D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第十条</w:t>
      </w:r>
      <w:r>
        <w:rPr>
          <w:rFonts w:hint="eastAsia" w:ascii="仿宋" w:hAnsi="仿宋" w:eastAsia="仿宋" w:cs="仿宋"/>
          <w:i w:val="0"/>
          <w:iCs w:val="0"/>
          <w:caps w:val="0"/>
          <w:color w:val="000000"/>
          <w:spacing w:val="0"/>
          <w:sz w:val="28"/>
          <w:szCs w:val="28"/>
          <w:bdr w:val="none" w:color="auto" w:sz="0" w:space="0"/>
          <w:shd w:val="clear" w:fill="FFFFFF"/>
          <w:vertAlign w:val="baseline"/>
        </w:rPr>
        <w:t>  从磋商文件发出之日起至供应商提交首次响应文件截止之日止不得少于10日。</w:t>
      </w:r>
    </w:p>
    <w:p w14:paraId="04290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磋商文件售价应当按照弥补磋商文件制作成本费用的原则确定，不得以营利为目的，不得以项目预算金额作为确定磋商文件售价依据。磋商文件的发售期限自开始之日起不得少于5个工作日。</w:t>
      </w:r>
    </w:p>
    <w:p w14:paraId="16C59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02FC7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第十一条</w:t>
      </w:r>
      <w:r>
        <w:rPr>
          <w:rFonts w:hint="eastAsia" w:ascii="仿宋" w:hAnsi="仿宋" w:eastAsia="仿宋" w:cs="仿宋"/>
          <w:i w:val="0"/>
          <w:iCs w:val="0"/>
          <w:caps w:val="0"/>
          <w:color w:val="000000"/>
          <w:spacing w:val="0"/>
          <w:sz w:val="28"/>
          <w:szCs w:val="28"/>
          <w:bdr w:val="none" w:color="auto" w:sz="0" w:space="0"/>
          <w:shd w:val="clear" w:fill="FFFFFF"/>
          <w:vertAlign w:val="baseline"/>
        </w:rPr>
        <w:t>  供应商应当按照磋商文件的要求编制响应文件，并对其提交的响应文件的真实性、合法性承担法律责任。</w:t>
      </w:r>
    </w:p>
    <w:p w14:paraId="23FF2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第十二条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提交磋商保证金的，响应无效。</w:t>
      </w:r>
    </w:p>
    <w:p w14:paraId="6BFEA7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供应商为联合体的，可以由联合体中的一方或者多方共同交纳磋商保证金，其交纳的保证金对联合体各方均具有约束力。</w:t>
      </w:r>
    </w:p>
    <w:p w14:paraId="1B8CCE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第十三条</w:t>
      </w:r>
      <w:r>
        <w:rPr>
          <w:rFonts w:hint="eastAsia" w:ascii="仿宋" w:hAnsi="仿宋" w:eastAsia="仿宋" w:cs="仿宋"/>
          <w:i w:val="0"/>
          <w:iCs w:val="0"/>
          <w:caps w:val="0"/>
          <w:color w:val="000000"/>
          <w:spacing w:val="0"/>
          <w:sz w:val="28"/>
          <w:szCs w:val="28"/>
          <w:bdr w:val="none" w:color="auto" w:sz="0" w:space="0"/>
          <w:shd w:val="clear" w:fill="FFFFFF"/>
          <w:vertAlign w:val="baseline"/>
        </w:rPr>
        <w:t>  供应商应当在磋商文件要求的截止时间前，将响应文件密封送达指定地点。在截止时间后送达的响应文件为无效文件，采购人、采购代理机构或者磋商小组应当拒收。</w:t>
      </w:r>
    </w:p>
    <w:p w14:paraId="3F2ED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08DE2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第十四条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0D55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67D15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第十五条</w:t>
      </w:r>
      <w:r>
        <w:rPr>
          <w:rFonts w:hint="eastAsia" w:ascii="仿宋" w:hAnsi="仿宋" w:eastAsia="仿宋" w:cs="仿宋"/>
          <w:i w:val="0"/>
          <w:iCs w:val="0"/>
          <w:caps w:val="0"/>
          <w:color w:val="000000"/>
          <w:spacing w:val="0"/>
          <w:sz w:val="28"/>
          <w:szCs w:val="28"/>
          <w:bdr w:val="none" w:color="auto" w:sz="0" w:space="0"/>
          <w:shd w:val="clear" w:fill="FFFFFF"/>
          <w:vertAlign w:val="baseline"/>
        </w:rPr>
        <w:t>  评审专家应当遵守评审工作纪律，不得泄露评审情况和评审中获悉的商业秘密。</w:t>
      </w:r>
    </w:p>
    <w:p w14:paraId="30A08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磋商小组在评审过程中发现供应商有行贿、提供虚假材料或者串通等违法行为的，应当及时向财政部门报告。</w:t>
      </w:r>
    </w:p>
    <w:p w14:paraId="40880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评审专家在评审过程中受到非法干涉的，应当及时向财政、监察等部门举报。</w:t>
      </w:r>
    </w:p>
    <w:p w14:paraId="350BD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第十六条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0004C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磋商文件内容违反国家有关强制性规定的，磋商小组应当停止评审并向采购人或者采购代理机构说明情况。</w:t>
      </w:r>
    </w:p>
    <w:p w14:paraId="563676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第十七条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采购人、采购代理机构不得向磋商小组中的评审专家作倾向性、误导性的解释或者说明。</w:t>
      </w:r>
    </w:p>
    <w:p w14:paraId="71A9B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采购人、采购代理机构可以视采购项目的具体情况，组织供应商进行现场考察或召开磋商前答疑会，但不得单独或分别组织只有一个供应商参加的现场考察和答疑会。</w:t>
      </w:r>
    </w:p>
    <w:p w14:paraId="6A52E8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第十八条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ED1D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3EE69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第十九条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磋商小组所有成员应当集中与单一供应商分别进行磋商，并给予所有参加磋商的供应商平等的磋商机会。</w:t>
      </w:r>
    </w:p>
    <w:p w14:paraId="5BB19A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第二十条</w:t>
      </w:r>
      <w:r>
        <w:rPr>
          <w:rFonts w:hint="eastAsia" w:ascii="仿宋" w:hAnsi="仿宋" w:eastAsia="仿宋" w:cs="仿宋"/>
          <w:i w:val="0"/>
          <w:iCs w:val="0"/>
          <w:caps w:val="0"/>
          <w:color w:val="000000"/>
          <w:spacing w:val="0"/>
          <w:sz w:val="28"/>
          <w:szCs w:val="28"/>
          <w:bdr w:val="none" w:color="auto" w:sz="0" w:space="0"/>
          <w:shd w:val="clear" w:fill="FFFFFF"/>
          <w:vertAlign w:val="baseline"/>
        </w:rPr>
        <w:t>  在磋商过程中，磋商小组可以根据磋商文件和磋商情况实质性变动采购需求中的技术、服务要求以及合同草案条款，但不得变动磋商文件中的其他内容。实质性变动的内容，须经采购人代表确认。</w:t>
      </w:r>
    </w:p>
    <w:p w14:paraId="2C22AC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对磋商文件作出的实质性变动是磋商文件的有效组成部分，磋商小组应当及时以书面形式同时通知所有参加磋商的供应商。</w:t>
      </w:r>
    </w:p>
    <w:p w14:paraId="1C283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F6ED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第二十一条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磋商文件能够详细列明采购标的的技术、服务要求的，磋商结束后，磋商小组应当要求所有实质性响应的供应商在规定时间内提交最后报价，提交最后报价的供应商不得少于3家。</w:t>
      </w:r>
    </w:p>
    <w:p w14:paraId="548A44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7AD35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最后报价是供应商响应文件的有效组成部分。符合本办法第三条第四项情形的，提交最后报价的供应商可以为2家。</w:t>
      </w:r>
    </w:p>
    <w:p w14:paraId="62235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第二十二条</w:t>
      </w:r>
      <w:r>
        <w:rPr>
          <w:rFonts w:hint="eastAsia" w:ascii="仿宋" w:hAnsi="仿宋" w:eastAsia="仿宋" w:cs="仿宋"/>
          <w:i w:val="0"/>
          <w:iCs w:val="0"/>
          <w:caps w:val="0"/>
          <w:color w:val="000000"/>
          <w:spacing w:val="0"/>
          <w:sz w:val="28"/>
          <w:szCs w:val="28"/>
          <w:bdr w:val="none" w:color="auto" w:sz="0" w:space="0"/>
          <w:shd w:val="clear" w:fill="FFFFFF"/>
          <w:vertAlign w:val="baseline"/>
        </w:rPr>
        <w:t>  已提交响应文件的供应商，在提交最后报价之前，可以根据磋商情况退出磋商。采购人、采购代理机构应当退还退出磋商的供应商的磋商保证金。</w:t>
      </w:r>
    </w:p>
    <w:p w14:paraId="10433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第二十三条</w:t>
      </w:r>
      <w:r>
        <w:rPr>
          <w:rFonts w:hint="eastAsia" w:ascii="仿宋" w:hAnsi="仿宋" w:eastAsia="仿宋" w:cs="仿宋"/>
          <w:i w:val="0"/>
          <w:iCs w:val="0"/>
          <w:caps w:val="0"/>
          <w:color w:val="000000"/>
          <w:spacing w:val="0"/>
          <w:sz w:val="28"/>
          <w:szCs w:val="28"/>
          <w:bdr w:val="none" w:color="auto" w:sz="0" w:space="0"/>
          <w:shd w:val="clear" w:fill="FFFFFF"/>
          <w:vertAlign w:val="baseline"/>
        </w:rPr>
        <w:t>  经磋商确定最终采购需求和提交最后报价的供应商后，由磋商小组采用综合评分法对提交最后报价的供应商的响应文件和最后报价进行综合评分。</w:t>
      </w:r>
    </w:p>
    <w:p w14:paraId="321D64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综合评分法，是指响应文件满足磋商文件全部实质性要求且按评审因素的量化指标评审得分最高的供应商为成交候选供应商的评审方法。</w:t>
      </w:r>
    </w:p>
    <w:p w14:paraId="291EB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第二十四条</w:t>
      </w:r>
      <w:r>
        <w:rPr>
          <w:rFonts w:hint="eastAsia" w:ascii="仿宋" w:hAnsi="仿宋" w:eastAsia="仿宋" w:cs="仿宋"/>
          <w:i w:val="0"/>
          <w:iCs w:val="0"/>
          <w:caps w:val="0"/>
          <w:color w:val="000000"/>
          <w:spacing w:val="0"/>
          <w:sz w:val="28"/>
          <w:szCs w:val="28"/>
          <w:bdr w:val="none" w:color="auto" w:sz="0" w:space="0"/>
          <w:shd w:val="clear" w:fill="FFFFFF"/>
          <w:vertAlign w:val="baseline"/>
        </w:rPr>
        <w:t>  综合评分法评审标准中的分值设置应当与评审因素的量化指标相对应。磋商文件中没有规定的评审标准不得作为评审依据。</w:t>
      </w:r>
    </w:p>
    <w:p w14:paraId="13A3F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评审时，磋商小组各成员应当独立对每个有效响应的文件进行评价、打分，然后汇总每个供应商每项评分因素的得分。</w:t>
      </w:r>
    </w:p>
    <w:p w14:paraId="75E5F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综合评分法货物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14:paraId="73B82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综合评分法中的价格分统一采用低价优先法计算，即满足磋商文件要求且最后报价最低的供应商的价格为磋商基准价，其价格分为满分。其他供应商的价格分统一按照下列公式计算：</w:t>
      </w:r>
    </w:p>
    <w:p w14:paraId="1F2BE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磋商报价得分=（磋商基准价/最后磋商报价）×价格权值×100</w:t>
      </w:r>
    </w:p>
    <w:p w14:paraId="3022B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项目评审过程中，不得去掉最后报价中的最高报价和最低报价。</w:t>
      </w:r>
    </w:p>
    <w:p w14:paraId="4E859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第二十五条</w:t>
      </w:r>
      <w:r>
        <w:rPr>
          <w:rFonts w:hint="eastAsia" w:ascii="仿宋" w:hAnsi="仿宋" w:eastAsia="仿宋" w:cs="仿宋"/>
          <w:i w:val="0"/>
          <w:iCs w:val="0"/>
          <w:caps w:val="0"/>
          <w:color w:val="000000"/>
          <w:spacing w:val="0"/>
          <w:sz w:val="28"/>
          <w:szCs w:val="28"/>
          <w:bdr w:val="none" w:color="auto" w:sz="0" w:space="0"/>
          <w:shd w:val="clear" w:fill="FFFFFF"/>
          <w:vertAlign w:val="baseline"/>
        </w:rPr>
        <w:t>  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14:paraId="5F26B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第二十六条</w:t>
      </w:r>
      <w:r>
        <w:rPr>
          <w:rFonts w:hint="eastAsia" w:ascii="仿宋" w:hAnsi="仿宋" w:eastAsia="仿宋" w:cs="仿宋"/>
          <w:i w:val="0"/>
          <w:iCs w:val="0"/>
          <w:caps w:val="0"/>
          <w:color w:val="000000"/>
          <w:spacing w:val="0"/>
          <w:sz w:val="28"/>
          <w:szCs w:val="28"/>
          <w:bdr w:val="none" w:color="auto" w:sz="0" w:space="0"/>
          <w:shd w:val="clear" w:fill="FFFFFF"/>
          <w:vertAlign w:val="baseline"/>
        </w:rPr>
        <w:t>  评审报告应当包括以下主要内容：</w:t>
      </w:r>
    </w:p>
    <w:p w14:paraId="5DCAF1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（一）邀请供应商参加采购活动的具体方式和相关情况；</w:t>
      </w:r>
    </w:p>
    <w:p w14:paraId="6F53FD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（二）响应文件开启日期和地点；</w:t>
      </w:r>
    </w:p>
    <w:p w14:paraId="7E875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（三）获取磋商文件的供应商名单和磋商小组成员名单；</w:t>
      </w:r>
    </w:p>
    <w:p w14:paraId="47F04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（四）评审情况记录和说明，包括对供应商的资格审查情况、供应商响应文件评审情况、磋商情况、报价情况等；</w:t>
      </w:r>
    </w:p>
    <w:p w14:paraId="03BBF4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（五）提出的成交候选供应商的排序名单及理由。</w:t>
      </w:r>
    </w:p>
    <w:p w14:paraId="79981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第二十七条</w:t>
      </w:r>
      <w:r>
        <w:rPr>
          <w:rFonts w:hint="eastAsia" w:ascii="仿宋" w:hAnsi="仿宋" w:eastAsia="仿宋" w:cs="仿宋"/>
          <w:i w:val="0"/>
          <w:iCs w:val="0"/>
          <w:caps w:val="0"/>
          <w:color w:val="000000"/>
          <w:spacing w:val="0"/>
          <w:sz w:val="28"/>
          <w:szCs w:val="28"/>
          <w:bdr w:val="none" w:color="auto" w:sz="0" w:space="0"/>
          <w:shd w:val="clear" w:fill="FFFFFF"/>
          <w:vertAlign w:val="baseline"/>
        </w:rPr>
        <w:t>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857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第二十八条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采购代理机构应当在评审结束后2个工作日内将评审报告送采购人确认。</w:t>
      </w:r>
    </w:p>
    <w:p w14:paraId="7D99C3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D54F8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第二十九条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14:paraId="31508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（一）采购人和采购代理机构的名称、地址和联系方式；</w:t>
      </w:r>
    </w:p>
    <w:p w14:paraId="56FC5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（二）项目名称和项目编号；</w:t>
      </w:r>
    </w:p>
    <w:p w14:paraId="719BE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（三）成交供应商名称、地址和成交金额；</w:t>
      </w:r>
    </w:p>
    <w:p w14:paraId="202DBB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（四）主要成交标的的名称、规格型号、数量、单价、服务要求；</w:t>
      </w:r>
    </w:p>
    <w:p w14:paraId="364E3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（五）磋商小组成员名单。</w:t>
      </w:r>
    </w:p>
    <w:p w14:paraId="62C3B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采用书面推荐供应商参加采购活动的，还应当公告采购人和评审专家的推荐意见。</w:t>
      </w:r>
    </w:p>
    <w:p w14:paraId="20A84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采购人与成交供应商应当在成交通知书发出之日起30日内，按照磋商文件确定的合同文本以及采购标的、规格型号、采购金额、采购数量、技术和服务要求等事项签订政府采购合同。</w:t>
      </w:r>
    </w:p>
    <w:p w14:paraId="22CE01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5D550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第三十一条</w:t>
      </w:r>
      <w:r>
        <w:rPr>
          <w:rFonts w:hint="eastAsia" w:ascii="仿宋" w:hAnsi="仿宋" w:eastAsia="仿宋" w:cs="仿宋"/>
          <w:i w:val="0"/>
          <w:iCs w:val="0"/>
          <w:caps w:val="0"/>
          <w:color w:val="000000"/>
          <w:spacing w:val="0"/>
          <w:sz w:val="28"/>
          <w:szCs w:val="28"/>
          <w:bdr w:val="none" w:color="auto" w:sz="0" w:space="0"/>
          <w:shd w:val="clear" w:fill="FFFFFF"/>
          <w:vertAlign w:val="baseline"/>
        </w:rPr>
        <w:t>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3B69F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有下列情形之一的，磋商保证金不予退还：</w:t>
      </w:r>
    </w:p>
    <w:p w14:paraId="0341F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（一）供应商在提交响应文件截止时间后撤回响应文件的；</w:t>
      </w:r>
    </w:p>
    <w:p w14:paraId="5CA9C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（二）供应商在响应文件中提供虚假材料的；</w:t>
      </w:r>
    </w:p>
    <w:p w14:paraId="00C96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（三）除因不可抗力或磋商文件认可的情形以外，成交供应商不与采购人签订合同的；</w:t>
      </w:r>
    </w:p>
    <w:p w14:paraId="278C3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（四）供应商与采购人、其他供应商或者采购代理机构恶意串通的；</w:t>
      </w:r>
    </w:p>
    <w:p w14:paraId="44D5C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（五）磋商文件规定的其他情形。</w:t>
      </w:r>
    </w:p>
    <w:p w14:paraId="2D0AA4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第三十二条</w:t>
      </w:r>
      <w:r>
        <w:rPr>
          <w:rFonts w:hint="eastAsia" w:ascii="仿宋" w:hAnsi="仿宋" w:eastAsia="仿宋" w:cs="仿宋"/>
          <w:i w:val="0"/>
          <w:iCs w:val="0"/>
          <w:caps w:val="0"/>
          <w:color w:val="000000"/>
          <w:spacing w:val="0"/>
          <w:sz w:val="28"/>
          <w:szCs w:val="28"/>
          <w:bdr w:val="none" w:color="auto" w:sz="0" w:space="0"/>
          <w:shd w:val="clear" w:fill="FFFFFF"/>
          <w:vertAlign w:val="baseline"/>
        </w:rPr>
        <w:t>  除资格性检查认定错误、分值汇总计算错误、分项评分超出评分标准范围、客观分评分不一致、经磋商小组一致认定评分畸高、畸低的情形外，采购人或者采购代理机 构不得以任何理由组织重新评审。采购人、采购代理机构发现磋商小组未按照磋商文件规定的评审标准进行评审的，应当重新开展采购活动，并同时书面报告本级财政部门。</w:t>
      </w:r>
    </w:p>
    <w:p w14:paraId="44275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采购人或者采购代理机构不得通过对样品进行检测、对供应商进行考察等方式改变评审结果。</w:t>
      </w:r>
    </w:p>
    <w:p w14:paraId="64082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第三十三条</w:t>
      </w:r>
      <w:r>
        <w:rPr>
          <w:rFonts w:hint="eastAsia" w:ascii="仿宋" w:hAnsi="仿宋" w:eastAsia="仿宋" w:cs="仿宋"/>
          <w:i w:val="0"/>
          <w:iCs w:val="0"/>
          <w:caps w:val="0"/>
          <w:color w:val="000000"/>
          <w:spacing w:val="0"/>
          <w:sz w:val="28"/>
          <w:szCs w:val="28"/>
          <w:bdr w:val="none" w:color="auto" w:sz="0" w:space="0"/>
          <w:shd w:val="clear" w:fill="FFFFFF"/>
          <w:vertAlign w:val="baseline"/>
        </w:rPr>
        <w:t>  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7FD224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第三十四条</w:t>
      </w:r>
      <w:r>
        <w:rPr>
          <w:rFonts w:hint="eastAsia" w:ascii="仿宋" w:hAnsi="仿宋" w:eastAsia="仿宋" w:cs="仿宋"/>
          <w:i w:val="0"/>
          <w:iCs w:val="0"/>
          <w:caps w:val="0"/>
          <w:color w:val="000000"/>
          <w:spacing w:val="0"/>
          <w:sz w:val="28"/>
          <w:szCs w:val="28"/>
          <w:bdr w:val="none" w:color="auto" w:sz="0" w:space="0"/>
          <w:shd w:val="clear" w:fill="FFFFFF"/>
          <w:vertAlign w:val="baseline"/>
        </w:rPr>
        <w:t>  出现下列情形之一的，采购人或者采购代理机构应当终止竞争性磋商采购活动，发布项目终止公告并说明原因，重新开展采购活动：</w:t>
      </w:r>
    </w:p>
    <w:p w14:paraId="4A005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（一）因情况变化，不再符合规定的竞争性磋商采购方式适用情形的；</w:t>
      </w:r>
    </w:p>
    <w:p w14:paraId="1AD05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（二）出现影响采购公正的违法、违规行为的；</w:t>
      </w:r>
    </w:p>
    <w:p w14:paraId="213E1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（三）除本办法第二十一条第三款规定的情形外，在采购过程中符合要求的供应商或者报价未超过采购预算的供应商不足3家的。</w:t>
      </w:r>
    </w:p>
    <w:p w14:paraId="68BE9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第三十五条</w:t>
      </w:r>
      <w:r>
        <w:rPr>
          <w:rFonts w:hint="eastAsia" w:ascii="仿宋" w:hAnsi="仿宋" w:eastAsia="仿宋" w:cs="仿宋"/>
          <w:i w:val="0"/>
          <w:iCs w:val="0"/>
          <w:caps w:val="0"/>
          <w:color w:val="000000"/>
          <w:spacing w:val="0"/>
          <w:sz w:val="28"/>
          <w:szCs w:val="28"/>
          <w:bdr w:val="none" w:color="auto" w:sz="0" w:space="0"/>
          <w:shd w:val="clear" w:fill="FFFFFF"/>
          <w:vertAlign w:val="baseline"/>
        </w:rPr>
        <w:t>  在采购活动中因重大变故，采购任务取消的，采购人或者采购代理机构应当终止采购活动，通知所有参加采购活动的供应商，并将项目实施情况和采购任务取消原因报送本级财政部门。</w:t>
      </w:r>
    </w:p>
    <w:p w14:paraId="59AF4C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rPr>
      </w:pP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第三章  附则</w:t>
      </w:r>
    </w:p>
    <w:p w14:paraId="4931E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第三十六条</w:t>
      </w:r>
      <w:r>
        <w:rPr>
          <w:rFonts w:hint="eastAsia" w:ascii="仿宋" w:hAnsi="仿宋" w:eastAsia="仿宋" w:cs="仿宋"/>
          <w:i w:val="0"/>
          <w:iCs w:val="0"/>
          <w:caps w:val="0"/>
          <w:color w:val="000000"/>
          <w:spacing w:val="0"/>
          <w:sz w:val="28"/>
          <w:szCs w:val="28"/>
          <w:bdr w:val="none" w:color="auto" w:sz="0" w:space="0"/>
          <w:shd w:val="clear" w:fill="FFFFFF"/>
          <w:vertAlign w:val="baseline"/>
        </w:rPr>
        <w:t>  相关法律制度对政府和社会资本合作项目采用竞争性磋商采购方式另有规定的，从其规定。</w:t>
      </w:r>
    </w:p>
    <w:p w14:paraId="36085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第三十七条</w:t>
      </w:r>
      <w:r>
        <w:rPr>
          <w:rFonts w:hint="eastAsia" w:ascii="仿宋" w:hAnsi="仿宋" w:eastAsia="仿宋" w:cs="仿宋"/>
          <w:i w:val="0"/>
          <w:iCs w:val="0"/>
          <w:caps w:val="0"/>
          <w:color w:val="000000"/>
          <w:spacing w:val="0"/>
          <w:sz w:val="28"/>
          <w:szCs w:val="28"/>
          <w:bdr w:val="none" w:color="auto" w:sz="0" w:space="0"/>
          <w:shd w:val="clear" w:fill="FFFFFF"/>
          <w:vertAlign w:val="baseline"/>
        </w:rPr>
        <w:t>  本办法所称主管预算单位是指负有编制部门预算职责，向同级财政部门申报预算的国家机关、事业单位和团体组织。</w:t>
      </w:r>
    </w:p>
    <w:p w14:paraId="10CC3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第三十八条</w:t>
      </w:r>
      <w:r>
        <w:rPr>
          <w:rFonts w:hint="eastAsia" w:ascii="仿宋" w:hAnsi="仿宋" w:eastAsia="仿宋" w:cs="仿宋"/>
          <w:i w:val="0"/>
          <w:iCs w:val="0"/>
          <w:caps w:val="0"/>
          <w:color w:val="000000"/>
          <w:spacing w:val="0"/>
          <w:sz w:val="28"/>
          <w:szCs w:val="28"/>
          <w:bdr w:val="none" w:color="auto" w:sz="0" w:space="0"/>
          <w:shd w:val="clear" w:fill="FFFFFF"/>
          <w:vertAlign w:val="baseline"/>
        </w:rPr>
        <w:t>  本办法自发布之日起施行。</w:t>
      </w:r>
    </w:p>
    <w:p w14:paraId="4FB196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Tg0ZGU5MjliODNmYmViMzEyMjFlODIzNmY5MWQifQ=="/>
  </w:docVars>
  <w:rsids>
    <w:rsidRoot w:val="773E1AF9"/>
    <w:rsid w:val="773E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2024-11-04T02:24:00Z</dcterms:created>
  <dc:creator>福星高赵</dc:creator>
  <cp:lastModifiedBy>福星高赵</cp:lastModifiedBy>
  <dcterms:modified xsi:type="dcterms:W3CDTF">2024-11-04T02:25:50Z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F0BB3820615A4829A9E0FC776C80DE9A_11</vt:lpwstr>
  </property>
</Properties>
</file>