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eastAsia="方正小标宋简体"/>
          <w:sz w:val="44"/>
          <w:szCs w:val="44"/>
        </w:rPr>
      </w:pPr>
      <w:r>
        <w:rPr>
          <w:rFonts w:hint="eastAsia" w:eastAsia="方正小标宋简体"/>
          <w:sz w:val="44"/>
          <w:szCs w:val="44"/>
          <w:lang w:eastAsia="zh-CN"/>
        </w:rPr>
        <w:drawing>
          <wp:anchor distT="0" distB="0" distL="114300" distR="114300" simplePos="0" relativeHeight="251666432" behindDoc="0" locked="0" layoutInCell="1" allowOverlap="1">
            <wp:simplePos x="0" y="0"/>
            <wp:positionH relativeFrom="column">
              <wp:posOffset>-1160145</wp:posOffset>
            </wp:positionH>
            <wp:positionV relativeFrom="paragraph">
              <wp:posOffset>-911225</wp:posOffset>
            </wp:positionV>
            <wp:extent cx="7599680" cy="10684510"/>
            <wp:effectExtent l="0" t="0" r="1270" b="2540"/>
            <wp:wrapNone/>
            <wp:docPr id="44" name="图片 44" descr="未命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未命名 -1"/>
                    <pic:cNvPicPr>
                      <a:picLocks noChangeAspect="1"/>
                    </pic:cNvPicPr>
                  </pic:nvPicPr>
                  <pic:blipFill>
                    <a:blip r:embed="rId11"/>
                    <a:srcRect l="51998"/>
                    <a:stretch>
                      <a:fillRect/>
                    </a:stretch>
                  </pic:blipFill>
                  <pic:spPr>
                    <a:xfrm>
                      <a:off x="0" y="0"/>
                      <a:ext cx="7599680" cy="10684510"/>
                    </a:xfrm>
                    <a:prstGeom prst="rect">
                      <a:avLst/>
                    </a:prstGeom>
                  </pic:spPr>
                </pic:pic>
              </a:graphicData>
            </a:graphic>
          </wp:anchor>
        </w:drawing>
      </w:r>
      <w:r>
        <w:rPr>
          <w:sz w:val="44"/>
        </w:rPr>
        <mc:AlternateContent>
          <mc:Choice Requires="wps">
            <w:drawing>
              <wp:anchor distT="0" distB="0" distL="114300" distR="114300" simplePos="0" relativeHeight="251665408" behindDoc="0" locked="0" layoutInCell="1" allowOverlap="1">
                <wp:simplePos x="0" y="0"/>
                <wp:positionH relativeFrom="column">
                  <wp:posOffset>2331720</wp:posOffset>
                </wp:positionH>
                <wp:positionV relativeFrom="paragraph">
                  <wp:posOffset>-255270</wp:posOffset>
                </wp:positionV>
                <wp:extent cx="3018155" cy="280035"/>
                <wp:effectExtent l="0" t="0" r="10795" b="5715"/>
                <wp:wrapNone/>
                <wp:docPr id="43" name="矩形 43"/>
                <wp:cNvGraphicFramePr/>
                <a:graphic xmlns:a="http://schemas.openxmlformats.org/drawingml/2006/main">
                  <a:graphicData uri="http://schemas.microsoft.com/office/word/2010/wordprocessingShape">
                    <wps:wsp>
                      <wps:cNvSpPr/>
                      <wps:spPr>
                        <a:xfrm>
                          <a:off x="3474720" y="659130"/>
                          <a:ext cx="3018155" cy="280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3.6pt;margin-top:-20.1pt;height:22.05pt;width:237.65pt;z-index:251665408;v-text-anchor:middle;mso-width-relative:page;mso-height-relative:page;" fillcolor="#FFFFFF [3212]" filled="t" stroked="f" coordsize="21600,21600" o:gfxdata="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kv&#10;zIPYAAAACQEAAA8AAAAAAAAAAQAgAAAAIgAAAGRycy9kb3ducmV2LnhtbFBLAQIUABQAAAAIAIdO&#10;4kA0CSl0XAIAAIoEAAAOAAAAAAAAAAEAIAAAACcBAABkcnMvZTJvRG9jLnhtbFBLBQYAAAAABgAG&#10;AFkBAAD1BQAAAAA=&#10;">
                <v:fill on="t" focussize="0,0"/>
                <v:stroke on="f" weight="1pt" miterlimit="8" joinstyle="miter"/>
                <v:imagedata o:title=""/>
                <o:lock v:ext="edit" aspectratio="f"/>
              </v:rect>
            </w:pict>
          </mc:Fallback>
        </mc:AlternateContent>
      </w:r>
    </w:p>
    <w:p>
      <w:pPr>
        <w:snapToGrid w:val="0"/>
        <w:jc w:val="center"/>
        <w:rPr>
          <w:rFonts w:hint="eastAsia" w:eastAsia="方正小标宋简体"/>
          <w:sz w:val="44"/>
          <w:szCs w:val="44"/>
          <w:lang w:eastAsia="zh-CN"/>
        </w:rPr>
        <w:sectPr>
          <w:headerReference r:id="rId5" w:type="first"/>
          <w:footerReference r:id="rId7" w:type="first"/>
          <w:headerReference r:id="rId3" w:type="default"/>
          <w:headerReference r:id="rId4" w:type="even"/>
          <w:footerReference r:id="rId6" w:type="even"/>
          <w:pgSz w:w="11906" w:h="16838"/>
          <w:pgMar w:top="1440" w:right="1800" w:bottom="1440" w:left="1800" w:header="851" w:footer="992" w:gutter="0"/>
          <w:cols w:space="425" w:num="1"/>
          <w:docGrid w:type="lines" w:linePitch="312" w:charSpace="0"/>
        </w:sectPr>
      </w:pPr>
    </w:p>
    <w:p>
      <w:pPr>
        <w:snapToGrid w:val="0"/>
        <w:rPr>
          <w:rFonts w:hint="eastAsia" w:eastAsia="方正小标宋简体"/>
          <w:sz w:val="44"/>
          <w:szCs w:val="44"/>
          <w:lang w:eastAsia="zh-CN"/>
        </w:rPr>
      </w:pPr>
      <w:r>
        <w:rPr>
          <w:rFonts w:hint="eastAsia" w:eastAsia="方正小标宋简体"/>
          <w:sz w:val="44"/>
          <w:szCs w:val="44"/>
          <w:lang w:eastAsia="zh-CN"/>
        </w:rPr>
        <w:drawing>
          <wp:anchor distT="0" distB="0" distL="114935" distR="114935" simplePos="0" relativeHeight="251659264" behindDoc="0" locked="0" layoutInCell="1" allowOverlap="1">
            <wp:simplePos x="0" y="0"/>
            <wp:positionH relativeFrom="column">
              <wp:posOffset>-407035</wp:posOffset>
            </wp:positionH>
            <wp:positionV relativeFrom="paragraph">
              <wp:posOffset>66675</wp:posOffset>
            </wp:positionV>
            <wp:extent cx="6242050" cy="6470015"/>
            <wp:effectExtent l="55880" t="53975" r="64770" b="67310"/>
            <wp:wrapNone/>
            <wp:docPr id="35" name="图片 35" descr="质量报告审批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质量报告审批2 001"/>
                    <pic:cNvPicPr>
                      <a:picLocks noChangeAspect="1"/>
                    </pic:cNvPicPr>
                  </pic:nvPicPr>
                  <pic:blipFill>
                    <a:blip r:embed="rId12"/>
                    <a:srcRect l="10674" t="3623" b="29633"/>
                    <a:stretch>
                      <a:fillRect/>
                    </a:stretch>
                  </pic:blipFill>
                  <pic:spPr>
                    <a:xfrm rot="60000">
                      <a:off x="0" y="0"/>
                      <a:ext cx="6242050" cy="6470015"/>
                    </a:xfrm>
                    <a:prstGeom prst="rect">
                      <a:avLst/>
                    </a:prstGeom>
                  </pic:spPr>
                </pic:pic>
              </a:graphicData>
            </a:graphic>
          </wp:anchor>
        </w:drawing>
      </w:r>
    </w:p>
    <w:p>
      <w:pPr>
        <w:snapToGrid w:val="0"/>
        <w:jc w:val="center"/>
        <w:rPr>
          <w:rFonts w:eastAsia="方正小标宋简体"/>
          <w:sz w:val="44"/>
          <w:szCs w:val="44"/>
        </w:rPr>
      </w:pPr>
      <w:bookmarkStart w:id="0" w:name="_Toc11591"/>
      <w:bookmarkStart w:id="1" w:name="_Toc31895"/>
      <w:r>
        <w:rPr>
          <w:rFonts w:eastAsia="方正小标宋简体"/>
          <w:sz w:val="44"/>
          <w:szCs w:val="44"/>
        </w:rPr>
        <w:br w:type="page"/>
      </w:r>
    </w:p>
    <w:sdt>
      <w:sdtPr>
        <w:rPr>
          <w:rFonts w:hint="eastAsia" w:ascii="黑体" w:hAnsi="黑体" w:eastAsia="黑体" w:cs="黑体"/>
          <w:sz w:val="44"/>
          <w:szCs w:val="44"/>
        </w:rPr>
        <w:id w:val="147453685"/>
        <w:docPartObj>
          <w:docPartGallery w:val="Table of Contents"/>
          <w:docPartUnique/>
        </w:docPartObj>
      </w:sdtPr>
      <w:sdtEndPr>
        <w:rPr>
          <w:rFonts w:hint="eastAsia" w:ascii="Times New Roman" w:hAnsi="Times New Roman" w:eastAsia="宋体" w:cs="Times New Roman"/>
          <w:sz w:val="44"/>
          <w:szCs w:val="44"/>
          <w:lang w:val="en-US" w:eastAsia="zh-CN" w:bidi="ar-SA"/>
        </w:rPr>
      </w:sdtEndPr>
      <w:sdtContent>
        <w:p>
          <w:pPr>
            <w:jc w:val="center"/>
            <w:rPr>
              <w:rFonts w:hint="eastAsia" w:ascii="黑体" w:hAnsi="黑体" w:eastAsia="黑体" w:cs="黑体"/>
              <w:sz w:val="44"/>
              <w:szCs w:val="44"/>
            </w:rPr>
          </w:pPr>
          <w:r>
            <w:rPr>
              <w:rFonts w:hint="eastAsia" w:ascii="黑体" w:hAnsi="黑体" w:eastAsia="黑体" w:cs="黑体"/>
              <w:sz w:val="44"/>
              <w:szCs w:val="44"/>
            </w:rPr>
            <w:t>目</w:t>
          </w:r>
          <w:r>
            <w:rPr>
              <w:rFonts w:hint="eastAsia" w:ascii="黑体" w:hAnsi="黑体" w:eastAsia="黑体" w:cs="黑体"/>
              <w:sz w:val="44"/>
              <w:szCs w:val="44"/>
              <w:lang w:val="en-US" w:eastAsia="zh-CN"/>
            </w:rPr>
            <w:t xml:space="preserve">  </w:t>
          </w:r>
          <w:r>
            <w:rPr>
              <w:rFonts w:hint="eastAsia" w:ascii="黑体" w:hAnsi="黑体" w:eastAsia="黑体" w:cs="黑体"/>
              <w:sz w:val="44"/>
              <w:szCs w:val="44"/>
            </w:rPr>
            <w:t>录</w:t>
          </w:r>
        </w:p>
        <w:p>
          <w:pPr>
            <w:jc w:val="center"/>
            <w:rPr>
              <w:rFonts w:hint="eastAsia" w:ascii="黑体" w:hAnsi="黑体" w:eastAsia="黑体" w:cs="黑体"/>
              <w:sz w:val="22"/>
              <w:szCs w:val="22"/>
            </w:rPr>
          </w:pPr>
        </w:p>
        <w:p>
          <w:pPr>
            <w:pStyle w:val="11"/>
            <w:tabs>
              <w:tab w:val="right" w:leader="dot" w:pos="8306"/>
            </w:tabs>
          </w:pPr>
          <w:r>
            <w:rPr>
              <w:b/>
              <w:bCs/>
            </w:rPr>
            <w:fldChar w:fldCharType="begin"/>
          </w:r>
          <w:r>
            <w:instrText xml:space="preserve"> HYPERLINK \l _Toc3682 </w:instrText>
          </w:r>
          <w:r>
            <w:rPr>
              <w:b/>
              <w:bCs/>
            </w:rPr>
            <w:fldChar w:fldCharType="separate"/>
          </w:r>
          <w:sdt>
            <w:sdtPr>
              <w:rPr>
                <w:rFonts w:asciiTheme="minorHAnsi" w:hAnsiTheme="minorHAnsi" w:eastAsiaTheme="minorEastAsia" w:cstheme="minorBidi"/>
                <w:b/>
                <w:bCs/>
                <w:kern w:val="2"/>
                <w:sz w:val="21"/>
                <w:szCs w:val="21"/>
                <w:lang w:val="en-US" w:eastAsia="zh-CN" w:bidi="ar-SA"/>
              </w:rPr>
              <w:id w:val="147453685"/>
              <w:placeholder>
                <w:docPart w:val="{5ad55eaf-58d5-462d-a85b-e9926838e566}"/>
              </w:placeholder>
            </w:sdtPr>
            <w:sdtEndPr>
              <w:rPr>
                <w:rFonts w:asciiTheme="minorHAnsi" w:hAnsiTheme="minorHAnsi" w:eastAsiaTheme="minorEastAsia" w:cstheme="minorBidi"/>
                <w:b/>
                <w:bCs/>
                <w:kern w:val="2"/>
                <w:sz w:val="21"/>
                <w:szCs w:val="21"/>
                <w:lang w:val="en-US" w:eastAsia="zh-CN" w:bidi="ar-SA"/>
              </w:rPr>
            </w:sdtEndPr>
            <w:sdtContent>
              <w:r>
                <w:rPr>
                  <w:rFonts w:hint="eastAsia" w:eastAsia="方正小标宋简体" w:asciiTheme="minorHAnsi" w:hAnsiTheme="minorHAnsi" w:cstheme="minorBidi"/>
                  <w:b/>
                  <w:bCs/>
                </w:rPr>
                <w:t>高等职业教育</w:t>
              </w:r>
              <w:r>
                <w:rPr>
                  <w:rFonts w:eastAsia="方正小标宋简体" w:asciiTheme="minorHAnsi" w:hAnsiTheme="minorHAnsi" w:cstheme="minorBidi"/>
                  <w:b/>
                  <w:bCs/>
                </w:rPr>
                <w:t>质量年度报告</w:t>
              </w:r>
              <w:r>
                <w:rPr>
                  <w:rFonts w:hint="eastAsia" w:eastAsia="方正小标宋简体" w:asciiTheme="minorHAnsi" w:hAnsiTheme="minorHAnsi" w:cstheme="minorBidi"/>
                  <w:b/>
                  <w:bCs/>
                </w:rPr>
                <w:t>（2018）</w:t>
              </w:r>
            </w:sdtContent>
          </w:sdt>
          <w:r>
            <w:rPr>
              <w:b/>
              <w:bCs/>
            </w:rPr>
            <w:tab/>
          </w:r>
          <w:r>
            <w:rPr>
              <w:b/>
              <w:bCs/>
            </w:rPr>
            <w:t>1</w:t>
          </w:r>
          <w:r>
            <w:rPr>
              <w:b/>
              <w:bCs/>
            </w:rPr>
            <w:fldChar w:fldCharType="end"/>
          </w:r>
        </w:p>
        <w:p>
          <w:pPr>
            <w:pStyle w:val="11"/>
            <w:tabs>
              <w:tab w:val="right" w:leader="dot" w:pos="8306"/>
            </w:tabs>
          </w:pPr>
          <w:r>
            <w:rPr>
              <w:b/>
              <w:bCs/>
            </w:rPr>
            <w:fldChar w:fldCharType="begin"/>
          </w:r>
          <w:r>
            <w:instrText xml:space="preserve"> HYPERLINK \l _Toc18370 </w:instrText>
          </w:r>
          <w:r>
            <w:rPr>
              <w:b/>
              <w:bCs/>
            </w:rPr>
            <w:fldChar w:fldCharType="separate"/>
          </w:r>
          <w:sdt>
            <w:sdtPr>
              <w:rPr>
                <w:rFonts w:asciiTheme="minorHAnsi" w:hAnsiTheme="minorHAnsi" w:eastAsiaTheme="minorEastAsia" w:cstheme="minorBidi"/>
                <w:b/>
                <w:bCs/>
                <w:kern w:val="2"/>
                <w:sz w:val="21"/>
                <w:szCs w:val="21"/>
                <w:lang w:val="en-US" w:eastAsia="zh-CN" w:bidi="ar-SA"/>
              </w:rPr>
              <w:id w:val="147453685"/>
              <w:placeholder>
                <w:docPart w:val="{2feab359-3532-405f-81c2-f04bfcb6d72d}"/>
              </w:placeholder>
            </w:sdtPr>
            <w:sdtEndPr>
              <w:rPr>
                <w:rFonts w:asciiTheme="minorHAnsi" w:hAnsiTheme="minorHAnsi" w:eastAsiaTheme="minorEastAsia" w:cstheme="minorBidi"/>
                <w:b/>
                <w:bCs/>
                <w:kern w:val="2"/>
                <w:sz w:val="21"/>
                <w:szCs w:val="21"/>
                <w:lang w:val="en-US" w:eastAsia="zh-CN" w:bidi="ar-SA"/>
              </w:rPr>
            </w:sdtEndPr>
            <w:sdtContent>
              <w:r>
                <w:rPr>
                  <w:rFonts w:hint="eastAsia" w:ascii="黑体" w:hAnsi="黑体" w:eastAsia="黑体" w:cs="黑体"/>
                  <w:b/>
                  <w:bCs/>
                </w:rPr>
                <w:t>1.基本情况</w:t>
              </w:r>
            </w:sdtContent>
          </w:sdt>
          <w:r>
            <w:rPr>
              <w:b/>
              <w:bCs/>
            </w:rPr>
            <w:tab/>
          </w:r>
          <w:r>
            <w:rPr>
              <w:b/>
              <w:bCs/>
            </w:rPr>
            <w:t>1</w:t>
          </w:r>
          <w:r>
            <w:rPr>
              <w:b/>
              <w:bCs/>
            </w:rPr>
            <w:fldChar w:fldCharType="end"/>
          </w:r>
        </w:p>
        <w:p>
          <w:pPr>
            <w:pStyle w:val="12"/>
            <w:tabs>
              <w:tab w:val="right" w:leader="dot" w:pos="8306"/>
            </w:tabs>
          </w:pPr>
          <w:r>
            <w:fldChar w:fldCharType="begin"/>
          </w:r>
          <w:r>
            <w:instrText xml:space="preserve"> HYPERLINK \l _Toc1054 </w:instrText>
          </w:r>
          <w:r>
            <w:fldChar w:fldCharType="separate"/>
          </w:r>
          <w:sdt>
            <w:sdtPr>
              <w:rPr>
                <w:rFonts w:asciiTheme="minorHAnsi" w:hAnsiTheme="minorHAnsi" w:eastAsiaTheme="minorEastAsia" w:cstheme="minorBidi"/>
                <w:kern w:val="2"/>
                <w:sz w:val="21"/>
                <w:szCs w:val="21"/>
                <w:lang w:val="en-US" w:eastAsia="zh-CN" w:bidi="ar-SA"/>
              </w:rPr>
              <w:id w:val="147453685"/>
              <w:placeholder>
                <w:docPart w:val="{fde8586e-591e-485c-acdd-3bfb02483766}"/>
              </w:placeholder>
            </w:sdtPr>
            <w:sdtEndPr>
              <w:rPr>
                <w:rFonts w:asciiTheme="minorHAnsi" w:hAnsiTheme="minorHAnsi" w:eastAsiaTheme="minorEastAsia" w:cstheme="minorBidi"/>
                <w:kern w:val="2"/>
                <w:sz w:val="21"/>
                <w:szCs w:val="21"/>
                <w:lang w:val="en-US" w:eastAsia="zh-CN" w:bidi="ar-SA"/>
              </w:rPr>
            </w:sdtEndPr>
            <w:sdtContent>
              <w:r>
                <w:rPr>
                  <w:rFonts w:hint="eastAsia" w:ascii="仿宋_GB2312" w:hAnsi="仿宋" w:eastAsia="仿宋_GB2312" w:cstheme="minorBidi"/>
                </w:rPr>
                <w:t>1.1学校概况</w:t>
              </w:r>
            </w:sdtContent>
          </w:sdt>
          <w:r>
            <w:tab/>
          </w:r>
          <w:r>
            <w:t>1</w:t>
          </w:r>
          <w:r>
            <w:fldChar w:fldCharType="end"/>
          </w:r>
        </w:p>
        <w:p>
          <w:pPr>
            <w:pStyle w:val="12"/>
            <w:tabs>
              <w:tab w:val="right" w:leader="dot" w:pos="8306"/>
            </w:tabs>
          </w:pPr>
          <w:r>
            <w:fldChar w:fldCharType="begin"/>
          </w:r>
          <w:r>
            <w:instrText xml:space="preserve"> HYPERLINK \l _Toc27523 </w:instrText>
          </w:r>
          <w:r>
            <w:fldChar w:fldCharType="separate"/>
          </w:r>
          <w:sdt>
            <w:sdtPr>
              <w:rPr>
                <w:rFonts w:asciiTheme="minorHAnsi" w:hAnsiTheme="minorHAnsi" w:eastAsiaTheme="minorEastAsia" w:cstheme="minorBidi"/>
                <w:kern w:val="2"/>
                <w:sz w:val="21"/>
                <w:szCs w:val="21"/>
                <w:lang w:val="en-US" w:eastAsia="zh-CN" w:bidi="ar-SA"/>
              </w:rPr>
              <w:id w:val="147453685"/>
              <w:placeholder>
                <w:docPart w:val="{125c61e9-c114-4cb2-ab58-250a660ad618}"/>
              </w:placeholder>
            </w:sdtPr>
            <w:sdtEndPr>
              <w:rPr>
                <w:rFonts w:asciiTheme="minorHAnsi" w:hAnsiTheme="minorHAnsi" w:eastAsiaTheme="minorEastAsia" w:cstheme="minorBidi"/>
                <w:kern w:val="2"/>
                <w:sz w:val="21"/>
                <w:szCs w:val="21"/>
                <w:lang w:val="en-US" w:eastAsia="zh-CN" w:bidi="ar-SA"/>
              </w:rPr>
            </w:sdtEndPr>
            <w:sdtContent>
              <w:r>
                <w:rPr>
                  <w:rFonts w:hint="eastAsia" w:ascii="仿宋_GB2312" w:hAnsi="仿宋_GB2312" w:eastAsia="仿宋_GB2312" w:cs="仿宋_GB2312"/>
                </w:rPr>
                <w:t>1.2学生情况</w:t>
              </w:r>
            </w:sdtContent>
          </w:sdt>
          <w:r>
            <w:tab/>
          </w:r>
          <w:r>
            <w:t>2</w:t>
          </w:r>
          <w:r>
            <w:fldChar w:fldCharType="end"/>
          </w:r>
        </w:p>
        <w:p>
          <w:pPr>
            <w:pStyle w:val="12"/>
            <w:tabs>
              <w:tab w:val="right" w:leader="dot" w:pos="8306"/>
            </w:tabs>
          </w:pPr>
          <w:r>
            <w:fldChar w:fldCharType="begin"/>
          </w:r>
          <w:r>
            <w:instrText xml:space="preserve"> HYPERLINK \l _Toc7703 </w:instrText>
          </w:r>
          <w:r>
            <w:fldChar w:fldCharType="separate"/>
          </w:r>
          <w:sdt>
            <w:sdtPr>
              <w:rPr>
                <w:rFonts w:asciiTheme="minorHAnsi" w:hAnsiTheme="minorHAnsi" w:eastAsiaTheme="minorEastAsia" w:cstheme="minorBidi"/>
                <w:kern w:val="2"/>
                <w:sz w:val="21"/>
                <w:szCs w:val="21"/>
                <w:lang w:val="en-US" w:eastAsia="zh-CN" w:bidi="ar-SA"/>
              </w:rPr>
              <w:id w:val="147453685"/>
              <w:placeholder>
                <w:docPart w:val="{fadc5dcd-75d6-4bea-93a4-2c912fcbd262}"/>
              </w:placeholder>
            </w:sdtPr>
            <w:sdtEndPr>
              <w:rPr>
                <w:rFonts w:asciiTheme="minorHAnsi" w:hAnsiTheme="minorHAnsi" w:eastAsiaTheme="minorEastAsia" w:cstheme="minorBidi"/>
                <w:kern w:val="2"/>
                <w:sz w:val="21"/>
                <w:szCs w:val="21"/>
                <w:lang w:val="en-US" w:eastAsia="zh-CN" w:bidi="ar-SA"/>
              </w:rPr>
            </w:sdtEndPr>
            <w:sdtContent>
              <w:r>
                <w:rPr>
                  <w:rFonts w:hint="eastAsia" w:ascii="仿宋_GB2312" w:hAnsi="仿宋_GB2312" w:eastAsia="仿宋_GB2312" w:cs="仿宋_GB2312"/>
                </w:rPr>
                <w:t>1.3教师队伍</w:t>
              </w:r>
            </w:sdtContent>
          </w:sdt>
          <w:r>
            <w:tab/>
          </w:r>
          <w:r>
            <w:t>3</w:t>
          </w:r>
          <w:r>
            <w:fldChar w:fldCharType="end"/>
          </w:r>
        </w:p>
        <w:p>
          <w:pPr>
            <w:pStyle w:val="12"/>
            <w:tabs>
              <w:tab w:val="right" w:leader="dot" w:pos="8306"/>
            </w:tabs>
          </w:pPr>
          <w:r>
            <w:fldChar w:fldCharType="begin"/>
          </w:r>
          <w:r>
            <w:instrText xml:space="preserve"> HYPERLINK \l _Toc20866 </w:instrText>
          </w:r>
          <w:r>
            <w:fldChar w:fldCharType="separate"/>
          </w:r>
          <w:sdt>
            <w:sdtPr>
              <w:rPr>
                <w:rFonts w:asciiTheme="minorHAnsi" w:hAnsiTheme="minorHAnsi" w:eastAsiaTheme="minorEastAsia" w:cstheme="minorBidi"/>
                <w:kern w:val="2"/>
                <w:sz w:val="21"/>
                <w:szCs w:val="21"/>
                <w:lang w:val="en-US" w:eastAsia="zh-CN" w:bidi="ar-SA"/>
              </w:rPr>
              <w:id w:val="147453685"/>
              <w:placeholder>
                <w:docPart w:val="{3457b475-1971-4c96-b535-2133eca4adf4}"/>
              </w:placeholder>
            </w:sdtPr>
            <w:sdtEndPr>
              <w:rPr>
                <w:rFonts w:asciiTheme="minorHAnsi" w:hAnsiTheme="minorHAnsi" w:eastAsiaTheme="minorEastAsia" w:cstheme="minorBidi"/>
                <w:kern w:val="2"/>
                <w:sz w:val="21"/>
                <w:szCs w:val="21"/>
                <w:lang w:val="en-US" w:eastAsia="zh-CN" w:bidi="ar-SA"/>
              </w:rPr>
            </w:sdtEndPr>
            <w:sdtContent>
              <w:r>
                <w:rPr>
                  <w:rFonts w:hint="eastAsia" w:ascii="仿宋_GB2312" w:hAnsi="仿宋_GB2312" w:eastAsia="仿宋_GB2312" w:cs="仿宋_GB2312"/>
                </w:rPr>
                <w:t>1.4设施设备</w:t>
              </w:r>
            </w:sdtContent>
          </w:sdt>
          <w:r>
            <w:tab/>
          </w:r>
          <w:r>
            <w:t>3</w:t>
          </w:r>
          <w:r>
            <w:fldChar w:fldCharType="end"/>
          </w:r>
        </w:p>
        <w:p>
          <w:pPr>
            <w:pStyle w:val="11"/>
            <w:tabs>
              <w:tab w:val="right" w:leader="dot" w:pos="8306"/>
            </w:tabs>
          </w:pPr>
          <w:r>
            <w:rPr>
              <w:b/>
              <w:bCs/>
            </w:rPr>
            <w:fldChar w:fldCharType="begin"/>
          </w:r>
          <w:r>
            <w:instrText xml:space="preserve"> HYPERLINK \l _Toc1401 </w:instrText>
          </w:r>
          <w:r>
            <w:rPr>
              <w:b/>
              <w:bCs/>
            </w:rPr>
            <w:fldChar w:fldCharType="separate"/>
          </w:r>
          <w:sdt>
            <w:sdtPr>
              <w:rPr>
                <w:rFonts w:asciiTheme="minorHAnsi" w:hAnsiTheme="minorHAnsi" w:eastAsiaTheme="minorEastAsia" w:cstheme="minorBidi"/>
                <w:b/>
                <w:bCs/>
                <w:kern w:val="2"/>
                <w:sz w:val="21"/>
                <w:szCs w:val="21"/>
                <w:lang w:val="en-US" w:eastAsia="zh-CN" w:bidi="ar-SA"/>
              </w:rPr>
              <w:id w:val="147453685"/>
              <w:placeholder>
                <w:docPart w:val="{9fa12012-fdc1-42b8-a5d2-eb915b89ff25}"/>
              </w:placeholder>
            </w:sdtPr>
            <w:sdtEndPr>
              <w:rPr>
                <w:rFonts w:asciiTheme="minorHAnsi" w:hAnsiTheme="minorHAnsi" w:eastAsiaTheme="minorEastAsia" w:cstheme="minorBidi"/>
                <w:b/>
                <w:bCs/>
                <w:kern w:val="2"/>
                <w:sz w:val="21"/>
                <w:szCs w:val="21"/>
                <w:lang w:val="en-US" w:eastAsia="zh-CN" w:bidi="ar-SA"/>
              </w:rPr>
            </w:sdtEndPr>
            <w:sdtContent>
              <w:r>
                <w:rPr>
                  <w:rFonts w:hint="eastAsia" w:ascii="黑体" w:hAnsi="黑体" w:eastAsia="黑体" w:cs="黑体"/>
                  <w:b/>
                  <w:bCs/>
                </w:rPr>
                <w:t>2.学生发展</w:t>
              </w:r>
            </w:sdtContent>
          </w:sdt>
          <w:r>
            <w:rPr>
              <w:b/>
              <w:bCs/>
            </w:rPr>
            <w:tab/>
          </w:r>
          <w:r>
            <w:rPr>
              <w:b/>
              <w:bCs/>
            </w:rPr>
            <w:t>5</w:t>
          </w:r>
          <w:r>
            <w:rPr>
              <w:b/>
              <w:bCs/>
            </w:rPr>
            <w:fldChar w:fldCharType="end"/>
          </w:r>
        </w:p>
        <w:p>
          <w:pPr>
            <w:pStyle w:val="12"/>
            <w:tabs>
              <w:tab w:val="right" w:leader="dot" w:pos="8306"/>
            </w:tabs>
          </w:pPr>
          <w:r>
            <w:fldChar w:fldCharType="begin"/>
          </w:r>
          <w:r>
            <w:instrText xml:space="preserve"> HYPERLINK \l _Toc12254 </w:instrText>
          </w:r>
          <w:r>
            <w:fldChar w:fldCharType="separate"/>
          </w:r>
          <w:sdt>
            <w:sdtPr>
              <w:rPr>
                <w:rFonts w:asciiTheme="minorHAnsi" w:hAnsiTheme="minorHAnsi" w:eastAsiaTheme="minorEastAsia" w:cstheme="minorBidi"/>
                <w:kern w:val="2"/>
                <w:sz w:val="21"/>
                <w:szCs w:val="21"/>
                <w:lang w:val="en-US" w:eastAsia="zh-CN" w:bidi="ar-SA"/>
              </w:rPr>
              <w:id w:val="147453685"/>
              <w:placeholder>
                <w:docPart w:val="{9ebb8bfc-b24e-4c12-9aac-435c468a495a}"/>
              </w:placeholder>
            </w:sdtPr>
            <w:sdtEndPr>
              <w:rPr>
                <w:rFonts w:asciiTheme="minorHAnsi" w:hAnsiTheme="minorHAnsi" w:eastAsiaTheme="minorEastAsia" w:cstheme="minorBidi"/>
                <w:kern w:val="2"/>
                <w:sz w:val="21"/>
                <w:szCs w:val="21"/>
                <w:lang w:val="en-US" w:eastAsia="zh-CN" w:bidi="ar-SA"/>
              </w:rPr>
            </w:sdtEndPr>
            <w:sdtContent>
              <w:r>
                <w:rPr>
                  <w:rFonts w:hint="eastAsia" w:ascii="仿宋_GB2312" w:hAnsi="仿宋_GB2312" w:eastAsia="仿宋_GB2312" w:cs="仿宋_GB2312"/>
                </w:rPr>
                <w:t>2.1就业质量</w:t>
              </w:r>
            </w:sdtContent>
          </w:sdt>
          <w:r>
            <w:tab/>
          </w:r>
          <w:r>
            <w:t>5</w:t>
          </w:r>
          <w:r>
            <w:fldChar w:fldCharType="end"/>
          </w:r>
        </w:p>
        <w:p>
          <w:pPr>
            <w:pStyle w:val="12"/>
            <w:tabs>
              <w:tab w:val="right" w:leader="dot" w:pos="8306"/>
            </w:tabs>
          </w:pPr>
          <w:r>
            <w:fldChar w:fldCharType="begin"/>
          </w:r>
          <w:r>
            <w:instrText xml:space="preserve"> HYPERLINK \l _Toc2820 </w:instrText>
          </w:r>
          <w:r>
            <w:fldChar w:fldCharType="separate"/>
          </w:r>
          <w:sdt>
            <w:sdtPr>
              <w:rPr>
                <w:rFonts w:asciiTheme="minorHAnsi" w:hAnsiTheme="minorHAnsi" w:eastAsiaTheme="minorEastAsia" w:cstheme="minorBidi"/>
                <w:kern w:val="2"/>
                <w:sz w:val="21"/>
                <w:szCs w:val="21"/>
                <w:lang w:val="en-US" w:eastAsia="zh-CN" w:bidi="ar-SA"/>
              </w:rPr>
              <w:id w:val="147453685"/>
              <w:placeholder>
                <w:docPart w:val="{9937e13f-6501-46d4-a676-980632312978}"/>
              </w:placeholder>
            </w:sdtPr>
            <w:sdtEndPr>
              <w:rPr>
                <w:rFonts w:asciiTheme="minorHAnsi" w:hAnsiTheme="minorHAnsi" w:eastAsiaTheme="minorEastAsia" w:cstheme="minorBidi"/>
                <w:kern w:val="2"/>
                <w:sz w:val="21"/>
                <w:szCs w:val="21"/>
                <w:lang w:val="en-US" w:eastAsia="zh-CN" w:bidi="ar-SA"/>
              </w:rPr>
            </w:sdtEndPr>
            <w:sdtContent>
              <w:r>
                <w:rPr>
                  <w:rFonts w:hint="eastAsia" w:ascii="仿宋_GB2312" w:hAnsi="仿宋_GB2312" w:eastAsia="仿宋_GB2312" w:cs="仿宋_GB2312"/>
                </w:rPr>
                <w:t>2.2职业发展</w:t>
              </w:r>
            </w:sdtContent>
          </w:sdt>
          <w:r>
            <w:tab/>
          </w:r>
          <w:r>
            <w:t>7</w:t>
          </w:r>
          <w:r>
            <w:fldChar w:fldCharType="end"/>
          </w:r>
        </w:p>
        <w:p>
          <w:pPr>
            <w:pStyle w:val="12"/>
            <w:tabs>
              <w:tab w:val="right" w:leader="dot" w:pos="8306"/>
            </w:tabs>
          </w:pPr>
          <w:r>
            <w:fldChar w:fldCharType="begin"/>
          </w:r>
          <w:r>
            <w:instrText xml:space="preserve"> HYPERLINK \l _Toc8967 </w:instrText>
          </w:r>
          <w:r>
            <w:fldChar w:fldCharType="separate"/>
          </w:r>
          <w:sdt>
            <w:sdtPr>
              <w:rPr>
                <w:rFonts w:asciiTheme="minorHAnsi" w:hAnsiTheme="minorHAnsi" w:eastAsiaTheme="minorEastAsia" w:cstheme="minorBidi"/>
                <w:kern w:val="2"/>
                <w:sz w:val="21"/>
                <w:szCs w:val="21"/>
                <w:lang w:val="en-US" w:eastAsia="zh-CN" w:bidi="ar-SA"/>
              </w:rPr>
              <w:id w:val="147453685"/>
              <w:placeholder>
                <w:docPart w:val="{b779af6f-d6d1-475e-ae68-7a47994126df}"/>
              </w:placeholder>
            </w:sdtPr>
            <w:sdtEndPr>
              <w:rPr>
                <w:rFonts w:asciiTheme="minorHAnsi" w:hAnsiTheme="minorHAnsi" w:eastAsiaTheme="minorEastAsia" w:cstheme="minorBidi"/>
                <w:kern w:val="2"/>
                <w:sz w:val="21"/>
                <w:szCs w:val="21"/>
                <w:lang w:val="en-US" w:eastAsia="zh-CN" w:bidi="ar-SA"/>
              </w:rPr>
            </w:sdtEndPr>
            <w:sdtContent>
              <w:r>
                <w:rPr>
                  <w:rFonts w:hint="eastAsia" w:ascii="仿宋_GB2312" w:hAnsi="仿宋_GB2312" w:eastAsia="仿宋_GB2312" w:cs="仿宋_GB2312"/>
                </w:rPr>
                <w:t>2.3学生素质</w:t>
              </w:r>
            </w:sdtContent>
          </w:sdt>
          <w:r>
            <w:tab/>
          </w:r>
          <w:r>
            <w:t>7</w:t>
          </w:r>
          <w:r>
            <w:fldChar w:fldCharType="end"/>
          </w:r>
        </w:p>
        <w:p>
          <w:pPr>
            <w:pStyle w:val="12"/>
            <w:tabs>
              <w:tab w:val="right" w:leader="dot" w:pos="8306"/>
            </w:tabs>
          </w:pPr>
          <w:r>
            <w:fldChar w:fldCharType="begin"/>
          </w:r>
          <w:r>
            <w:instrText xml:space="preserve"> HYPERLINK \l _Toc30027 </w:instrText>
          </w:r>
          <w:r>
            <w:fldChar w:fldCharType="separate"/>
          </w:r>
          <w:sdt>
            <w:sdtPr>
              <w:rPr>
                <w:rFonts w:asciiTheme="minorHAnsi" w:hAnsiTheme="minorHAnsi" w:eastAsiaTheme="minorEastAsia" w:cstheme="minorBidi"/>
                <w:kern w:val="2"/>
                <w:sz w:val="21"/>
                <w:szCs w:val="21"/>
                <w:lang w:val="en-US" w:eastAsia="zh-CN" w:bidi="ar-SA"/>
              </w:rPr>
              <w:id w:val="147453685"/>
              <w:placeholder>
                <w:docPart w:val="{d76d0584-912d-4edd-9693-d633508f4d2d}"/>
              </w:placeholder>
            </w:sdtPr>
            <w:sdtEndPr>
              <w:rPr>
                <w:rFonts w:asciiTheme="minorHAnsi" w:hAnsiTheme="minorHAnsi" w:eastAsiaTheme="minorEastAsia" w:cstheme="minorBidi"/>
                <w:kern w:val="2"/>
                <w:sz w:val="21"/>
                <w:szCs w:val="21"/>
                <w:lang w:val="en-US" w:eastAsia="zh-CN" w:bidi="ar-SA"/>
              </w:rPr>
            </w:sdtEndPr>
            <w:sdtContent>
              <w:r>
                <w:rPr>
                  <w:rFonts w:hint="eastAsia" w:ascii="仿宋_GB2312" w:hAnsi="仿宋_GB2312" w:eastAsia="仿宋_GB2312" w:cs="仿宋_GB2312"/>
                </w:rPr>
                <w:t>2.4创新创业</w:t>
              </w:r>
            </w:sdtContent>
          </w:sdt>
          <w:r>
            <w:tab/>
          </w:r>
          <w:r>
            <w:t>13</w:t>
          </w:r>
          <w:r>
            <w:fldChar w:fldCharType="end"/>
          </w:r>
        </w:p>
        <w:p>
          <w:pPr>
            <w:pStyle w:val="12"/>
            <w:tabs>
              <w:tab w:val="right" w:leader="dot" w:pos="8306"/>
            </w:tabs>
          </w:pPr>
          <w:r>
            <w:fldChar w:fldCharType="begin"/>
          </w:r>
          <w:r>
            <w:instrText xml:space="preserve"> HYPERLINK \l _Toc11140 </w:instrText>
          </w:r>
          <w:r>
            <w:fldChar w:fldCharType="separate"/>
          </w:r>
          <w:sdt>
            <w:sdtPr>
              <w:rPr>
                <w:rFonts w:asciiTheme="minorHAnsi" w:hAnsiTheme="minorHAnsi" w:eastAsiaTheme="minorEastAsia" w:cstheme="minorBidi"/>
                <w:kern w:val="2"/>
                <w:sz w:val="21"/>
                <w:szCs w:val="21"/>
                <w:lang w:val="en-US" w:eastAsia="zh-CN" w:bidi="ar-SA"/>
              </w:rPr>
              <w:id w:val="147453685"/>
              <w:placeholder>
                <w:docPart w:val="{7a1b8c07-18e2-42f1-9f71-22493e765d12}"/>
              </w:placeholder>
            </w:sdtPr>
            <w:sdtEndPr>
              <w:rPr>
                <w:rFonts w:asciiTheme="minorHAnsi" w:hAnsiTheme="minorHAnsi" w:eastAsiaTheme="minorEastAsia" w:cstheme="minorBidi"/>
                <w:kern w:val="2"/>
                <w:sz w:val="21"/>
                <w:szCs w:val="21"/>
                <w:lang w:val="en-US" w:eastAsia="zh-CN" w:bidi="ar-SA"/>
              </w:rPr>
            </w:sdtEndPr>
            <w:sdtContent>
              <w:r>
                <w:rPr>
                  <w:rFonts w:hint="eastAsia" w:ascii="仿宋_GB2312" w:hAnsi="仿宋_GB2312" w:eastAsia="仿宋_GB2312" w:cs="仿宋_GB2312"/>
                </w:rPr>
                <w:t>2.5计分卡</w:t>
              </w:r>
            </w:sdtContent>
          </w:sdt>
          <w:r>
            <w:tab/>
          </w:r>
          <w:r>
            <w:t>15</w:t>
          </w:r>
          <w:r>
            <w:fldChar w:fldCharType="end"/>
          </w:r>
        </w:p>
        <w:p>
          <w:pPr>
            <w:pStyle w:val="11"/>
            <w:tabs>
              <w:tab w:val="right" w:leader="dot" w:pos="8306"/>
            </w:tabs>
          </w:pPr>
          <w:r>
            <w:rPr>
              <w:b/>
              <w:bCs/>
            </w:rPr>
            <w:fldChar w:fldCharType="begin"/>
          </w:r>
          <w:r>
            <w:instrText xml:space="preserve"> HYPERLINK \l _Toc19961 </w:instrText>
          </w:r>
          <w:r>
            <w:rPr>
              <w:b/>
              <w:bCs/>
            </w:rPr>
            <w:fldChar w:fldCharType="separate"/>
          </w:r>
          <w:sdt>
            <w:sdtPr>
              <w:rPr>
                <w:rFonts w:asciiTheme="minorHAnsi" w:hAnsiTheme="minorHAnsi" w:eastAsiaTheme="minorEastAsia" w:cstheme="minorBidi"/>
                <w:b/>
                <w:bCs/>
                <w:kern w:val="2"/>
                <w:sz w:val="21"/>
                <w:szCs w:val="21"/>
                <w:lang w:val="en-US" w:eastAsia="zh-CN" w:bidi="ar-SA"/>
              </w:rPr>
              <w:id w:val="147453685"/>
              <w:placeholder>
                <w:docPart w:val="{03ca3204-b1be-4b5d-83c7-f8242b14e55d}"/>
              </w:placeholder>
            </w:sdtPr>
            <w:sdtEndPr>
              <w:rPr>
                <w:rFonts w:asciiTheme="minorHAnsi" w:hAnsiTheme="minorHAnsi" w:eastAsiaTheme="minorEastAsia" w:cstheme="minorBidi"/>
                <w:b/>
                <w:bCs/>
                <w:kern w:val="2"/>
                <w:sz w:val="21"/>
                <w:szCs w:val="21"/>
                <w:lang w:val="en-US" w:eastAsia="zh-CN" w:bidi="ar-SA"/>
              </w:rPr>
            </w:sdtEndPr>
            <w:sdtContent>
              <w:r>
                <w:rPr>
                  <w:rFonts w:hint="eastAsia" w:ascii="黑体" w:hAnsi="黑体" w:eastAsia="黑体" w:cs="黑体"/>
                  <w:b/>
                  <w:bCs/>
                </w:rPr>
                <w:t>3.教育教学</w:t>
              </w:r>
            </w:sdtContent>
          </w:sdt>
          <w:r>
            <w:rPr>
              <w:b/>
              <w:bCs/>
            </w:rPr>
            <w:tab/>
          </w:r>
          <w:r>
            <w:rPr>
              <w:b/>
              <w:bCs/>
            </w:rPr>
            <w:t>16</w:t>
          </w:r>
          <w:r>
            <w:rPr>
              <w:b/>
              <w:bCs/>
            </w:rPr>
            <w:fldChar w:fldCharType="end"/>
          </w:r>
        </w:p>
        <w:p>
          <w:pPr>
            <w:pStyle w:val="12"/>
            <w:tabs>
              <w:tab w:val="right" w:leader="dot" w:pos="8306"/>
            </w:tabs>
          </w:pPr>
          <w:r>
            <w:fldChar w:fldCharType="begin"/>
          </w:r>
          <w:r>
            <w:instrText xml:space="preserve"> HYPERLINK \l _Toc29355 </w:instrText>
          </w:r>
          <w:r>
            <w:fldChar w:fldCharType="separate"/>
          </w:r>
          <w:sdt>
            <w:sdtPr>
              <w:rPr>
                <w:rFonts w:asciiTheme="minorHAnsi" w:hAnsiTheme="minorHAnsi" w:eastAsiaTheme="minorEastAsia" w:cstheme="minorBidi"/>
                <w:kern w:val="2"/>
                <w:sz w:val="21"/>
                <w:szCs w:val="21"/>
                <w:lang w:val="en-US" w:eastAsia="zh-CN" w:bidi="ar-SA"/>
              </w:rPr>
              <w:id w:val="147453685"/>
              <w:placeholder>
                <w:docPart w:val="{f7b33c69-480f-4cd5-8fe0-164ab4e28383}"/>
              </w:placeholder>
            </w:sdtPr>
            <w:sdtEndPr>
              <w:rPr>
                <w:rFonts w:asciiTheme="minorHAnsi" w:hAnsiTheme="minorHAnsi" w:eastAsiaTheme="minorEastAsia" w:cstheme="minorBidi"/>
                <w:kern w:val="2"/>
                <w:sz w:val="21"/>
                <w:szCs w:val="21"/>
                <w:lang w:val="en-US" w:eastAsia="zh-CN" w:bidi="ar-SA"/>
              </w:rPr>
            </w:sdtEndPr>
            <w:sdtContent>
              <w:r>
                <w:rPr>
                  <w:rFonts w:hint="eastAsia" w:ascii="仿宋_GB2312" w:hAnsi="仿宋_GB2312" w:eastAsia="仿宋_GB2312" w:cs="仿宋_GB2312"/>
                </w:rPr>
                <w:t>3.1资源表</w:t>
              </w:r>
            </w:sdtContent>
          </w:sdt>
          <w:r>
            <w:tab/>
          </w:r>
          <w:r>
            <w:t>16</w:t>
          </w:r>
          <w:r>
            <w:fldChar w:fldCharType="end"/>
          </w:r>
        </w:p>
        <w:p>
          <w:pPr>
            <w:pStyle w:val="12"/>
            <w:tabs>
              <w:tab w:val="right" w:leader="dot" w:pos="8306"/>
            </w:tabs>
          </w:pPr>
          <w:r>
            <w:fldChar w:fldCharType="begin"/>
          </w:r>
          <w:r>
            <w:instrText xml:space="preserve"> HYPERLINK \l _Toc3606 </w:instrText>
          </w:r>
          <w:r>
            <w:fldChar w:fldCharType="separate"/>
          </w:r>
          <w:sdt>
            <w:sdtPr>
              <w:rPr>
                <w:rFonts w:asciiTheme="minorHAnsi" w:hAnsiTheme="minorHAnsi" w:eastAsiaTheme="minorEastAsia" w:cstheme="minorBidi"/>
                <w:kern w:val="2"/>
                <w:sz w:val="21"/>
                <w:szCs w:val="21"/>
                <w:lang w:val="en-US" w:eastAsia="zh-CN" w:bidi="ar-SA"/>
              </w:rPr>
              <w:id w:val="147453685"/>
              <w:placeholder>
                <w:docPart w:val="{4805baae-2f15-4496-bfca-fbf90a74a15c}"/>
              </w:placeholder>
            </w:sdtPr>
            <w:sdtEndPr>
              <w:rPr>
                <w:rFonts w:asciiTheme="minorHAnsi" w:hAnsiTheme="minorHAnsi" w:eastAsiaTheme="minorEastAsia" w:cstheme="minorBidi"/>
                <w:kern w:val="2"/>
                <w:sz w:val="21"/>
                <w:szCs w:val="21"/>
                <w:lang w:val="en-US" w:eastAsia="zh-CN" w:bidi="ar-SA"/>
              </w:rPr>
            </w:sdtEndPr>
            <w:sdtContent>
              <w:r>
                <w:rPr>
                  <w:rFonts w:hint="eastAsia" w:ascii="仿宋_GB2312" w:hAnsi="仿宋_GB2312" w:eastAsia="仿宋_GB2312" w:cs="仿宋_GB2312"/>
                </w:rPr>
                <w:t>3.2思想政治教育</w:t>
              </w:r>
            </w:sdtContent>
          </w:sdt>
          <w:r>
            <w:tab/>
          </w:r>
          <w:r>
            <w:t>16</w:t>
          </w:r>
          <w:r>
            <w:fldChar w:fldCharType="end"/>
          </w:r>
        </w:p>
        <w:p>
          <w:pPr>
            <w:pStyle w:val="12"/>
            <w:tabs>
              <w:tab w:val="right" w:leader="dot" w:pos="8306"/>
            </w:tabs>
          </w:pPr>
          <w:r>
            <w:fldChar w:fldCharType="begin"/>
          </w:r>
          <w:r>
            <w:instrText xml:space="preserve"> HYPERLINK \l _Toc22083 </w:instrText>
          </w:r>
          <w:r>
            <w:fldChar w:fldCharType="separate"/>
          </w:r>
          <w:sdt>
            <w:sdtPr>
              <w:rPr>
                <w:rFonts w:asciiTheme="minorHAnsi" w:hAnsiTheme="minorHAnsi" w:eastAsiaTheme="minorEastAsia" w:cstheme="minorBidi"/>
                <w:kern w:val="2"/>
                <w:sz w:val="21"/>
                <w:szCs w:val="21"/>
                <w:lang w:val="en-US" w:eastAsia="zh-CN" w:bidi="ar-SA"/>
              </w:rPr>
              <w:id w:val="147453685"/>
              <w:placeholder>
                <w:docPart w:val="{f5230814-169e-48ba-b460-13ee885b1fe5}"/>
              </w:placeholder>
            </w:sdtPr>
            <w:sdtEndPr>
              <w:rPr>
                <w:rFonts w:asciiTheme="minorHAnsi" w:hAnsiTheme="minorHAnsi" w:eastAsiaTheme="minorEastAsia" w:cstheme="minorBidi"/>
                <w:kern w:val="2"/>
                <w:sz w:val="21"/>
                <w:szCs w:val="21"/>
                <w:lang w:val="en-US" w:eastAsia="zh-CN" w:bidi="ar-SA"/>
              </w:rPr>
            </w:sdtEndPr>
            <w:sdtContent>
              <w:r>
                <w:rPr>
                  <w:rFonts w:hint="eastAsia" w:ascii="仿宋_GB2312" w:hAnsi="仿宋_GB2312" w:eastAsia="仿宋_GB2312" w:cs="仿宋_GB2312"/>
                </w:rPr>
                <w:t>3.3专业（群）建设</w:t>
              </w:r>
            </w:sdtContent>
          </w:sdt>
          <w:r>
            <w:tab/>
          </w:r>
          <w:r>
            <w:t>20</w:t>
          </w:r>
          <w:r>
            <w:fldChar w:fldCharType="end"/>
          </w:r>
        </w:p>
        <w:p>
          <w:pPr>
            <w:pStyle w:val="12"/>
            <w:tabs>
              <w:tab w:val="right" w:leader="dot" w:pos="8306"/>
            </w:tabs>
          </w:pPr>
          <w:r>
            <w:fldChar w:fldCharType="begin"/>
          </w:r>
          <w:r>
            <w:instrText xml:space="preserve"> HYPERLINK \l _Toc18853 </w:instrText>
          </w:r>
          <w:r>
            <w:fldChar w:fldCharType="separate"/>
          </w:r>
          <w:sdt>
            <w:sdtPr>
              <w:rPr>
                <w:rFonts w:asciiTheme="minorHAnsi" w:hAnsiTheme="minorHAnsi" w:eastAsiaTheme="minorEastAsia" w:cstheme="minorBidi"/>
                <w:kern w:val="2"/>
                <w:sz w:val="21"/>
                <w:szCs w:val="21"/>
                <w:lang w:val="en-US" w:eastAsia="zh-CN" w:bidi="ar-SA"/>
              </w:rPr>
              <w:id w:val="147453685"/>
              <w:placeholder>
                <w:docPart w:val="{b6065650-61a3-4743-b5c7-31b1d88079bf}"/>
              </w:placeholder>
            </w:sdtPr>
            <w:sdtEndPr>
              <w:rPr>
                <w:rFonts w:asciiTheme="minorHAnsi" w:hAnsiTheme="minorHAnsi" w:eastAsiaTheme="minorEastAsia" w:cstheme="minorBidi"/>
                <w:kern w:val="2"/>
                <w:sz w:val="21"/>
                <w:szCs w:val="21"/>
                <w:lang w:val="en-US" w:eastAsia="zh-CN" w:bidi="ar-SA"/>
              </w:rPr>
            </w:sdtEndPr>
            <w:sdtContent>
              <w:r>
                <w:rPr>
                  <w:rFonts w:hint="eastAsia" w:ascii="仿宋_GB2312" w:eastAsia="仿宋_GB2312" w:hAnsiTheme="minorHAnsi" w:cstheme="minorBidi"/>
                </w:rPr>
                <w:t>3.4 教师素质提升</w:t>
              </w:r>
            </w:sdtContent>
          </w:sdt>
          <w:r>
            <w:tab/>
          </w:r>
          <w:r>
            <w:t>22</w:t>
          </w:r>
          <w:r>
            <w:fldChar w:fldCharType="end"/>
          </w:r>
        </w:p>
        <w:p>
          <w:pPr>
            <w:pStyle w:val="12"/>
            <w:tabs>
              <w:tab w:val="right" w:leader="dot" w:pos="8306"/>
            </w:tabs>
          </w:pPr>
          <w:r>
            <w:fldChar w:fldCharType="begin"/>
          </w:r>
          <w:r>
            <w:instrText xml:space="preserve"> HYPERLINK \l _Toc31283 </w:instrText>
          </w:r>
          <w:r>
            <w:fldChar w:fldCharType="separate"/>
          </w:r>
          <w:sdt>
            <w:sdtPr>
              <w:rPr>
                <w:rFonts w:asciiTheme="minorHAnsi" w:hAnsiTheme="minorHAnsi" w:eastAsiaTheme="minorEastAsia" w:cstheme="minorBidi"/>
                <w:kern w:val="2"/>
                <w:sz w:val="21"/>
                <w:szCs w:val="21"/>
                <w:lang w:val="en-US" w:eastAsia="zh-CN" w:bidi="ar-SA"/>
              </w:rPr>
              <w:id w:val="147453685"/>
              <w:placeholder>
                <w:docPart w:val="{7cc5dcf1-808c-4c5b-9262-c092c1d10bf3}"/>
              </w:placeholder>
            </w:sdtPr>
            <w:sdtEndPr>
              <w:rPr>
                <w:rFonts w:asciiTheme="minorHAnsi" w:hAnsiTheme="minorHAnsi" w:eastAsiaTheme="minorEastAsia" w:cstheme="minorBidi"/>
                <w:kern w:val="2"/>
                <w:sz w:val="21"/>
                <w:szCs w:val="21"/>
                <w:lang w:val="en-US" w:eastAsia="zh-CN" w:bidi="ar-SA"/>
              </w:rPr>
            </w:sdtEndPr>
            <w:sdtContent>
              <w:r>
                <w:rPr>
                  <w:rFonts w:hint="eastAsia" w:ascii="仿宋_GB2312" w:eastAsia="仿宋_GB2312" w:hAnsiTheme="minorHAnsi" w:cstheme="minorBidi"/>
                </w:rPr>
                <w:t>3.5校企合作育人</w:t>
              </w:r>
            </w:sdtContent>
          </w:sdt>
          <w:r>
            <w:tab/>
          </w:r>
          <w:r>
            <w:t>24</w:t>
          </w:r>
          <w:r>
            <w:fldChar w:fldCharType="end"/>
          </w:r>
        </w:p>
        <w:p>
          <w:pPr>
            <w:pStyle w:val="12"/>
            <w:tabs>
              <w:tab w:val="right" w:leader="dot" w:pos="8306"/>
            </w:tabs>
          </w:pPr>
          <w:r>
            <w:fldChar w:fldCharType="begin"/>
          </w:r>
          <w:r>
            <w:instrText xml:space="preserve"> HYPERLINK \l _Toc15641 </w:instrText>
          </w:r>
          <w:r>
            <w:fldChar w:fldCharType="separate"/>
          </w:r>
          <w:sdt>
            <w:sdtPr>
              <w:rPr>
                <w:rFonts w:asciiTheme="minorHAnsi" w:hAnsiTheme="minorHAnsi" w:eastAsiaTheme="minorEastAsia" w:cstheme="minorBidi"/>
                <w:kern w:val="2"/>
                <w:sz w:val="21"/>
                <w:szCs w:val="21"/>
                <w:lang w:val="en-US" w:eastAsia="zh-CN" w:bidi="ar-SA"/>
              </w:rPr>
              <w:id w:val="147453685"/>
              <w:placeholder>
                <w:docPart w:val="{74005364-4014-4524-a951-2499089e7bd9}"/>
              </w:placeholder>
            </w:sdtPr>
            <w:sdtEndPr>
              <w:rPr>
                <w:rFonts w:asciiTheme="minorHAnsi" w:hAnsiTheme="minorHAnsi" w:eastAsiaTheme="minorEastAsia" w:cstheme="minorBidi"/>
                <w:kern w:val="2"/>
                <w:sz w:val="21"/>
                <w:szCs w:val="21"/>
                <w:lang w:val="en-US" w:eastAsia="zh-CN" w:bidi="ar-SA"/>
              </w:rPr>
            </w:sdtEndPr>
            <w:sdtContent>
              <w:r>
                <w:rPr>
                  <w:rFonts w:hint="eastAsia" w:ascii="仿宋_GB2312" w:eastAsia="仿宋_GB2312" w:hAnsiTheme="minorHAnsi" w:cstheme="minorBidi"/>
                </w:rPr>
                <w:t>3.6课程（教学资源）建设</w:t>
              </w:r>
            </w:sdtContent>
          </w:sdt>
          <w:r>
            <w:tab/>
          </w:r>
          <w:r>
            <w:t>26</w:t>
          </w:r>
          <w:r>
            <w:fldChar w:fldCharType="end"/>
          </w:r>
        </w:p>
        <w:p>
          <w:pPr>
            <w:pStyle w:val="12"/>
            <w:tabs>
              <w:tab w:val="right" w:leader="dot" w:pos="8306"/>
            </w:tabs>
          </w:pPr>
          <w:r>
            <w:fldChar w:fldCharType="begin"/>
          </w:r>
          <w:r>
            <w:instrText xml:space="preserve"> HYPERLINK \l _Toc22697 </w:instrText>
          </w:r>
          <w:r>
            <w:fldChar w:fldCharType="separate"/>
          </w:r>
          <w:sdt>
            <w:sdtPr>
              <w:rPr>
                <w:rFonts w:asciiTheme="minorHAnsi" w:hAnsiTheme="minorHAnsi" w:eastAsiaTheme="minorEastAsia" w:cstheme="minorBidi"/>
                <w:kern w:val="2"/>
                <w:sz w:val="21"/>
                <w:szCs w:val="21"/>
                <w:lang w:val="en-US" w:eastAsia="zh-CN" w:bidi="ar-SA"/>
              </w:rPr>
              <w:id w:val="147453685"/>
              <w:placeholder>
                <w:docPart w:val="{061bc111-3942-400a-8b13-c58fc6184c22}"/>
              </w:placeholder>
            </w:sdtPr>
            <w:sdtEndPr>
              <w:rPr>
                <w:rFonts w:asciiTheme="minorHAnsi" w:hAnsiTheme="minorHAnsi" w:eastAsiaTheme="minorEastAsia" w:cstheme="minorBidi"/>
                <w:kern w:val="2"/>
                <w:sz w:val="21"/>
                <w:szCs w:val="21"/>
                <w:lang w:val="en-US" w:eastAsia="zh-CN" w:bidi="ar-SA"/>
              </w:rPr>
            </w:sdtEndPr>
            <w:sdtContent>
              <w:r>
                <w:rPr>
                  <w:rFonts w:hint="eastAsia" w:ascii="仿宋_GB2312" w:hAnsi="仿宋_GB2312" w:eastAsia="仿宋_GB2312" w:cs="仿宋_GB2312"/>
                </w:rPr>
                <w:t>3.7信息化教学</w:t>
              </w:r>
            </w:sdtContent>
          </w:sdt>
          <w:r>
            <w:tab/>
          </w:r>
          <w:r>
            <w:t>29</w:t>
          </w:r>
          <w:r>
            <w:fldChar w:fldCharType="end"/>
          </w:r>
        </w:p>
        <w:p>
          <w:pPr>
            <w:pStyle w:val="12"/>
            <w:tabs>
              <w:tab w:val="right" w:leader="dot" w:pos="8306"/>
            </w:tabs>
          </w:pPr>
          <w:r>
            <w:fldChar w:fldCharType="begin"/>
          </w:r>
          <w:r>
            <w:instrText xml:space="preserve"> HYPERLINK \l _Toc29542 </w:instrText>
          </w:r>
          <w:r>
            <w:fldChar w:fldCharType="separate"/>
          </w:r>
          <w:sdt>
            <w:sdtPr>
              <w:rPr>
                <w:rFonts w:asciiTheme="minorHAnsi" w:hAnsiTheme="minorHAnsi" w:eastAsiaTheme="minorEastAsia" w:cstheme="minorBidi"/>
                <w:kern w:val="2"/>
                <w:sz w:val="21"/>
                <w:szCs w:val="21"/>
                <w:lang w:val="en-US" w:eastAsia="zh-CN" w:bidi="ar-SA"/>
              </w:rPr>
              <w:id w:val="147453685"/>
              <w:placeholder>
                <w:docPart w:val="{b93004b7-390e-4e82-af93-be4cf65478cb}"/>
              </w:placeholder>
            </w:sdtPr>
            <w:sdtEndPr>
              <w:rPr>
                <w:rFonts w:asciiTheme="minorHAnsi" w:hAnsiTheme="minorHAnsi" w:eastAsiaTheme="minorEastAsia" w:cstheme="minorBidi"/>
                <w:kern w:val="2"/>
                <w:sz w:val="21"/>
                <w:szCs w:val="21"/>
                <w:lang w:val="en-US" w:eastAsia="zh-CN" w:bidi="ar-SA"/>
              </w:rPr>
            </w:sdtEndPr>
            <w:sdtContent>
              <w:r>
                <w:rPr>
                  <w:rFonts w:hint="eastAsia" w:ascii="仿宋_GB2312" w:hAnsi="仿宋_GB2312" w:eastAsia="仿宋_GB2312" w:cs="仿宋_GB2312"/>
                </w:rPr>
                <w:t>3.8质量保障措施</w:t>
              </w:r>
            </w:sdtContent>
          </w:sdt>
          <w:r>
            <w:tab/>
          </w:r>
          <w:r>
            <w:t>30</w:t>
          </w:r>
          <w:r>
            <w:fldChar w:fldCharType="end"/>
          </w:r>
        </w:p>
        <w:p>
          <w:pPr>
            <w:pStyle w:val="11"/>
            <w:tabs>
              <w:tab w:val="right" w:leader="dot" w:pos="8306"/>
            </w:tabs>
          </w:pPr>
          <w:r>
            <w:rPr>
              <w:b/>
              <w:bCs/>
            </w:rPr>
            <w:fldChar w:fldCharType="begin"/>
          </w:r>
          <w:r>
            <w:instrText xml:space="preserve"> HYPERLINK \l _Toc19540 </w:instrText>
          </w:r>
          <w:r>
            <w:rPr>
              <w:b/>
              <w:bCs/>
            </w:rPr>
            <w:fldChar w:fldCharType="separate"/>
          </w:r>
          <w:sdt>
            <w:sdtPr>
              <w:rPr>
                <w:rFonts w:asciiTheme="minorHAnsi" w:hAnsiTheme="minorHAnsi" w:eastAsiaTheme="minorEastAsia" w:cstheme="minorBidi"/>
                <w:b/>
                <w:bCs/>
                <w:kern w:val="2"/>
                <w:sz w:val="21"/>
                <w:szCs w:val="21"/>
                <w:lang w:val="en-US" w:eastAsia="zh-CN" w:bidi="ar-SA"/>
              </w:rPr>
              <w:id w:val="147453685"/>
              <w:placeholder>
                <w:docPart w:val="{78775e2a-9660-4640-ab44-b4d749b87922}"/>
              </w:placeholder>
            </w:sdtPr>
            <w:sdtEndPr>
              <w:rPr>
                <w:rFonts w:asciiTheme="minorHAnsi" w:hAnsiTheme="minorHAnsi" w:eastAsiaTheme="minorEastAsia" w:cstheme="minorBidi"/>
                <w:b/>
                <w:bCs/>
                <w:kern w:val="2"/>
                <w:sz w:val="21"/>
                <w:szCs w:val="21"/>
                <w:lang w:val="en-US" w:eastAsia="zh-CN" w:bidi="ar-SA"/>
              </w:rPr>
            </w:sdtEndPr>
            <w:sdtContent>
              <w:r>
                <w:rPr>
                  <w:rFonts w:hint="eastAsia" w:ascii="黑体" w:hAnsi="黑体" w:eastAsia="黑体" w:cs="黑体"/>
                  <w:b/>
                  <w:bCs/>
                </w:rPr>
                <w:t>4.政策保障</w:t>
              </w:r>
            </w:sdtContent>
          </w:sdt>
          <w:r>
            <w:rPr>
              <w:b/>
              <w:bCs/>
            </w:rPr>
            <w:tab/>
          </w:r>
          <w:r>
            <w:rPr>
              <w:b/>
              <w:bCs/>
            </w:rPr>
            <w:t>32</w:t>
          </w:r>
          <w:r>
            <w:rPr>
              <w:b/>
              <w:bCs/>
            </w:rPr>
            <w:fldChar w:fldCharType="end"/>
          </w:r>
        </w:p>
        <w:p>
          <w:pPr>
            <w:pStyle w:val="12"/>
            <w:tabs>
              <w:tab w:val="right" w:leader="dot" w:pos="8306"/>
            </w:tabs>
          </w:pPr>
          <w:r>
            <w:fldChar w:fldCharType="begin"/>
          </w:r>
          <w:r>
            <w:instrText xml:space="preserve"> HYPERLINK \l _Toc12742 </w:instrText>
          </w:r>
          <w:r>
            <w:fldChar w:fldCharType="separate"/>
          </w:r>
          <w:sdt>
            <w:sdtPr>
              <w:rPr>
                <w:rFonts w:asciiTheme="minorHAnsi" w:hAnsiTheme="minorHAnsi" w:eastAsiaTheme="minorEastAsia" w:cstheme="minorBidi"/>
                <w:kern w:val="2"/>
                <w:sz w:val="21"/>
                <w:szCs w:val="21"/>
                <w:lang w:val="en-US" w:eastAsia="zh-CN" w:bidi="ar-SA"/>
              </w:rPr>
              <w:id w:val="147453685"/>
              <w:placeholder>
                <w:docPart w:val="{b3b6f3ee-f38f-4bf2-b09c-9d2a1a3acc41}"/>
              </w:placeholder>
            </w:sdtPr>
            <w:sdtEndPr>
              <w:rPr>
                <w:rFonts w:asciiTheme="minorHAnsi" w:hAnsiTheme="minorHAnsi" w:eastAsiaTheme="minorEastAsia" w:cstheme="minorBidi"/>
                <w:kern w:val="2"/>
                <w:sz w:val="21"/>
                <w:szCs w:val="21"/>
                <w:lang w:val="en-US" w:eastAsia="zh-CN" w:bidi="ar-SA"/>
              </w:rPr>
            </w:sdtEndPr>
            <w:sdtContent>
              <w:r>
                <w:rPr>
                  <w:rFonts w:hint="eastAsia" w:ascii="仿宋_GB2312" w:hAnsi="仿宋_GB2312" w:eastAsia="仿宋_GB2312" w:cs="仿宋_GB2312"/>
                </w:rPr>
                <w:t>4.1落实政策表</w:t>
              </w:r>
            </w:sdtContent>
          </w:sdt>
          <w:r>
            <w:tab/>
          </w:r>
          <w:r>
            <w:t>32</w:t>
          </w:r>
          <w:r>
            <w:fldChar w:fldCharType="end"/>
          </w:r>
        </w:p>
        <w:p>
          <w:pPr>
            <w:pStyle w:val="12"/>
            <w:tabs>
              <w:tab w:val="right" w:leader="dot" w:pos="8306"/>
            </w:tabs>
          </w:pPr>
          <w:r>
            <w:fldChar w:fldCharType="begin"/>
          </w:r>
          <w:r>
            <w:instrText xml:space="preserve"> HYPERLINK \l _Toc11696 </w:instrText>
          </w:r>
          <w:r>
            <w:fldChar w:fldCharType="separate"/>
          </w:r>
          <w:sdt>
            <w:sdtPr>
              <w:rPr>
                <w:rFonts w:asciiTheme="minorHAnsi" w:hAnsiTheme="minorHAnsi" w:eastAsiaTheme="minorEastAsia" w:cstheme="minorBidi"/>
                <w:kern w:val="2"/>
                <w:sz w:val="21"/>
                <w:szCs w:val="21"/>
                <w:lang w:val="en-US" w:eastAsia="zh-CN" w:bidi="ar-SA"/>
              </w:rPr>
              <w:id w:val="147453685"/>
              <w:placeholder>
                <w:docPart w:val="{288a2a70-c885-4c6a-b7a1-58beb12c1048}"/>
              </w:placeholder>
            </w:sdtPr>
            <w:sdtEndPr>
              <w:rPr>
                <w:rFonts w:asciiTheme="minorHAnsi" w:hAnsiTheme="minorHAnsi" w:eastAsiaTheme="minorEastAsia" w:cstheme="minorBidi"/>
                <w:kern w:val="2"/>
                <w:sz w:val="21"/>
                <w:szCs w:val="21"/>
                <w:lang w:val="en-US" w:eastAsia="zh-CN" w:bidi="ar-SA"/>
              </w:rPr>
            </w:sdtEndPr>
            <w:sdtContent>
              <w:r>
                <w:rPr>
                  <w:rFonts w:hint="eastAsia" w:ascii="仿宋_GB2312" w:hAnsi="Verdana" w:eastAsia="仿宋_GB2312" w:cstheme="minorBidi"/>
                </w:rPr>
                <w:t>4.2机制保障</w:t>
              </w:r>
            </w:sdtContent>
          </w:sdt>
          <w:r>
            <w:tab/>
          </w:r>
          <w:r>
            <w:t>32</w:t>
          </w:r>
          <w:r>
            <w:fldChar w:fldCharType="end"/>
          </w:r>
        </w:p>
        <w:p>
          <w:pPr>
            <w:pStyle w:val="11"/>
            <w:tabs>
              <w:tab w:val="right" w:leader="dot" w:pos="8306"/>
            </w:tabs>
          </w:pPr>
          <w:r>
            <w:rPr>
              <w:b/>
              <w:bCs/>
            </w:rPr>
            <w:fldChar w:fldCharType="begin"/>
          </w:r>
          <w:r>
            <w:instrText xml:space="preserve"> HYPERLINK \l _Toc32352 </w:instrText>
          </w:r>
          <w:r>
            <w:rPr>
              <w:b/>
              <w:bCs/>
            </w:rPr>
            <w:fldChar w:fldCharType="separate"/>
          </w:r>
          <w:sdt>
            <w:sdtPr>
              <w:rPr>
                <w:rFonts w:asciiTheme="minorHAnsi" w:hAnsiTheme="minorHAnsi" w:eastAsiaTheme="minorEastAsia" w:cstheme="minorBidi"/>
                <w:b/>
                <w:bCs/>
                <w:kern w:val="2"/>
                <w:sz w:val="21"/>
                <w:szCs w:val="21"/>
                <w:lang w:val="en-US" w:eastAsia="zh-CN" w:bidi="ar-SA"/>
              </w:rPr>
              <w:id w:val="147453685"/>
              <w:placeholder>
                <w:docPart w:val="{f5f8ecf6-7fde-41af-a1dc-d35bab6b5a49}"/>
              </w:placeholder>
            </w:sdtPr>
            <w:sdtEndPr>
              <w:rPr>
                <w:rFonts w:asciiTheme="minorHAnsi" w:hAnsiTheme="minorHAnsi" w:eastAsiaTheme="minorEastAsia" w:cstheme="minorBidi"/>
                <w:b/>
                <w:bCs/>
                <w:kern w:val="2"/>
                <w:sz w:val="21"/>
                <w:szCs w:val="21"/>
                <w:lang w:val="en-US" w:eastAsia="zh-CN" w:bidi="ar-SA"/>
              </w:rPr>
            </w:sdtEndPr>
            <w:sdtContent>
              <w:r>
                <w:rPr>
                  <w:rFonts w:hint="eastAsia" w:ascii="黑体" w:hAnsi="黑体" w:eastAsia="黑体" w:cs="黑体"/>
                  <w:b/>
                  <w:bCs/>
                </w:rPr>
                <w:t>5.国际合作</w:t>
              </w:r>
            </w:sdtContent>
          </w:sdt>
          <w:r>
            <w:rPr>
              <w:b/>
              <w:bCs/>
            </w:rPr>
            <w:tab/>
          </w:r>
          <w:r>
            <w:rPr>
              <w:b/>
              <w:bCs/>
            </w:rPr>
            <w:t>35</w:t>
          </w:r>
          <w:r>
            <w:rPr>
              <w:b/>
              <w:bCs/>
            </w:rPr>
            <w:fldChar w:fldCharType="end"/>
          </w:r>
        </w:p>
        <w:p>
          <w:pPr>
            <w:pStyle w:val="12"/>
            <w:tabs>
              <w:tab w:val="right" w:leader="dot" w:pos="8306"/>
            </w:tabs>
          </w:pPr>
          <w:r>
            <w:fldChar w:fldCharType="begin"/>
          </w:r>
          <w:r>
            <w:instrText xml:space="preserve"> HYPERLINK \l _Toc9078 </w:instrText>
          </w:r>
          <w:r>
            <w:fldChar w:fldCharType="separate"/>
          </w:r>
          <w:sdt>
            <w:sdtPr>
              <w:rPr>
                <w:rFonts w:asciiTheme="minorHAnsi" w:hAnsiTheme="minorHAnsi" w:eastAsiaTheme="minorEastAsia" w:cstheme="minorBidi"/>
                <w:kern w:val="2"/>
                <w:sz w:val="21"/>
                <w:szCs w:val="21"/>
                <w:lang w:val="en-US" w:eastAsia="zh-CN" w:bidi="ar-SA"/>
              </w:rPr>
              <w:id w:val="147453685"/>
              <w:placeholder>
                <w:docPart w:val="{8be33565-7ed2-4e31-9325-99e5606cbfa3}"/>
              </w:placeholder>
            </w:sdtPr>
            <w:sdtEndPr>
              <w:rPr>
                <w:rFonts w:asciiTheme="minorHAnsi" w:hAnsiTheme="minorHAnsi" w:eastAsiaTheme="minorEastAsia" w:cstheme="minorBidi"/>
                <w:kern w:val="2"/>
                <w:sz w:val="21"/>
                <w:szCs w:val="21"/>
                <w:lang w:val="en-US" w:eastAsia="zh-CN" w:bidi="ar-SA"/>
              </w:rPr>
            </w:sdtEndPr>
            <w:sdtContent>
              <w:r>
                <w:rPr>
                  <w:rFonts w:hint="eastAsia" w:ascii="仿宋_GB2312" w:eastAsia="仿宋_GB2312" w:hAnsiTheme="minorHAnsi" w:cstheme="minorBidi"/>
                </w:rPr>
                <w:t>5.1 国际影响力</w:t>
              </w:r>
            </w:sdtContent>
          </w:sdt>
          <w:r>
            <w:tab/>
          </w:r>
          <w:r>
            <w:t>35</w:t>
          </w:r>
          <w:r>
            <w:fldChar w:fldCharType="end"/>
          </w:r>
        </w:p>
        <w:p>
          <w:pPr>
            <w:pStyle w:val="12"/>
            <w:tabs>
              <w:tab w:val="right" w:leader="dot" w:pos="8306"/>
            </w:tabs>
          </w:pPr>
          <w:r>
            <w:fldChar w:fldCharType="begin"/>
          </w:r>
          <w:r>
            <w:instrText xml:space="preserve"> HYPERLINK \l _Toc374 </w:instrText>
          </w:r>
          <w:r>
            <w:fldChar w:fldCharType="separate"/>
          </w:r>
          <w:sdt>
            <w:sdtPr>
              <w:rPr>
                <w:rFonts w:asciiTheme="minorHAnsi" w:hAnsiTheme="minorHAnsi" w:eastAsiaTheme="minorEastAsia" w:cstheme="minorBidi"/>
                <w:kern w:val="2"/>
                <w:sz w:val="21"/>
                <w:szCs w:val="21"/>
                <w:lang w:val="en-US" w:eastAsia="zh-CN" w:bidi="ar-SA"/>
              </w:rPr>
              <w:id w:val="147453685"/>
              <w:placeholder>
                <w:docPart w:val="{29256850-ef41-40ef-826a-742fe910e2ec}"/>
              </w:placeholder>
            </w:sdtPr>
            <w:sdtEndPr>
              <w:rPr>
                <w:rFonts w:asciiTheme="minorHAnsi" w:hAnsiTheme="minorHAnsi" w:eastAsiaTheme="minorEastAsia" w:cstheme="minorBidi"/>
                <w:kern w:val="2"/>
                <w:sz w:val="21"/>
                <w:szCs w:val="21"/>
                <w:lang w:val="en-US" w:eastAsia="zh-CN" w:bidi="ar-SA"/>
              </w:rPr>
            </w:sdtEndPr>
            <w:sdtContent>
              <w:r>
                <w:rPr>
                  <w:rFonts w:hint="eastAsia" w:ascii="仿宋_GB2312" w:eastAsia="仿宋_GB2312" w:hAnsiTheme="minorHAnsi" w:cstheme="minorBidi"/>
                </w:rPr>
                <w:t>5.2合作办学</w:t>
              </w:r>
            </w:sdtContent>
          </w:sdt>
          <w:r>
            <w:tab/>
          </w:r>
          <w:r>
            <w:t>35</w:t>
          </w:r>
          <w:r>
            <w:fldChar w:fldCharType="end"/>
          </w:r>
        </w:p>
        <w:p>
          <w:pPr>
            <w:pStyle w:val="11"/>
            <w:tabs>
              <w:tab w:val="right" w:leader="dot" w:pos="8306"/>
            </w:tabs>
          </w:pPr>
          <w:r>
            <w:rPr>
              <w:b/>
              <w:bCs/>
            </w:rPr>
            <w:fldChar w:fldCharType="begin"/>
          </w:r>
          <w:r>
            <w:instrText xml:space="preserve"> HYPERLINK \l _Toc1953 </w:instrText>
          </w:r>
          <w:r>
            <w:rPr>
              <w:b/>
              <w:bCs/>
            </w:rPr>
            <w:fldChar w:fldCharType="separate"/>
          </w:r>
          <w:sdt>
            <w:sdtPr>
              <w:rPr>
                <w:rFonts w:asciiTheme="minorHAnsi" w:hAnsiTheme="minorHAnsi" w:eastAsiaTheme="minorEastAsia" w:cstheme="minorBidi"/>
                <w:b/>
                <w:bCs/>
                <w:kern w:val="2"/>
                <w:sz w:val="21"/>
                <w:szCs w:val="21"/>
                <w:lang w:val="en-US" w:eastAsia="zh-CN" w:bidi="ar-SA"/>
              </w:rPr>
              <w:id w:val="147453685"/>
              <w:placeholder>
                <w:docPart w:val="{39193a75-bcfc-4f7d-87fd-b3d5571d2e79}"/>
              </w:placeholder>
            </w:sdtPr>
            <w:sdtEndPr>
              <w:rPr>
                <w:rFonts w:asciiTheme="minorHAnsi" w:hAnsiTheme="minorHAnsi" w:eastAsiaTheme="minorEastAsia" w:cstheme="minorBidi"/>
                <w:b/>
                <w:bCs/>
                <w:kern w:val="2"/>
                <w:sz w:val="21"/>
                <w:szCs w:val="21"/>
                <w:lang w:val="en-US" w:eastAsia="zh-CN" w:bidi="ar-SA"/>
              </w:rPr>
            </w:sdtEndPr>
            <w:sdtContent>
              <w:r>
                <w:rPr>
                  <w:rFonts w:hint="eastAsia" w:ascii="黑体" w:hAnsi="黑体" w:eastAsia="黑体" w:cs="黑体"/>
                  <w:b/>
                  <w:bCs/>
                </w:rPr>
                <w:t>6.改革创新</w:t>
              </w:r>
            </w:sdtContent>
          </w:sdt>
          <w:r>
            <w:rPr>
              <w:b/>
              <w:bCs/>
            </w:rPr>
            <w:tab/>
          </w:r>
          <w:r>
            <w:rPr>
              <w:b/>
              <w:bCs/>
            </w:rPr>
            <w:t>37</w:t>
          </w:r>
          <w:r>
            <w:rPr>
              <w:b/>
              <w:bCs/>
            </w:rPr>
            <w:fldChar w:fldCharType="end"/>
          </w:r>
        </w:p>
        <w:p>
          <w:pPr>
            <w:pStyle w:val="12"/>
            <w:tabs>
              <w:tab w:val="right" w:leader="dot" w:pos="8306"/>
            </w:tabs>
          </w:pPr>
          <w:r>
            <w:fldChar w:fldCharType="begin"/>
          </w:r>
          <w:r>
            <w:instrText xml:space="preserve"> HYPERLINK \l _Toc15565 </w:instrText>
          </w:r>
          <w:r>
            <w:fldChar w:fldCharType="separate"/>
          </w:r>
          <w:sdt>
            <w:sdtPr>
              <w:rPr>
                <w:rFonts w:asciiTheme="minorHAnsi" w:hAnsiTheme="minorHAnsi" w:eastAsiaTheme="minorEastAsia" w:cstheme="minorBidi"/>
                <w:kern w:val="2"/>
                <w:sz w:val="21"/>
                <w:szCs w:val="21"/>
                <w:lang w:val="en-US" w:eastAsia="zh-CN" w:bidi="ar-SA"/>
              </w:rPr>
              <w:id w:val="147453685"/>
              <w:placeholder>
                <w:docPart w:val="{e8e2894b-901d-44b3-9814-e731dc1a6975}"/>
              </w:placeholder>
            </w:sdtPr>
            <w:sdtEndPr>
              <w:rPr>
                <w:rFonts w:asciiTheme="minorHAnsi" w:hAnsiTheme="minorHAnsi" w:eastAsiaTheme="minorEastAsia" w:cstheme="minorBidi"/>
                <w:kern w:val="2"/>
                <w:sz w:val="21"/>
                <w:szCs w:val="21"/>
                <w:lang w:val="en-US" w:eastAsia="zh-CN" w:bidi="ar-SA"/>
              </w:rPr>
            </w:sdtEndPr>
            <w:sdtContent>
              <w:r>
                <w:rPr>
                  <w:rFonts w:hint="eastAsia" w:ascii="仿宋_GB2312" w:hAnsi="仿宋_GB2312" w:eastAsia="仿宋_GB2312" w:cs="仿宋_GB2312"/>
                </w:rPr>
                <w:t>6.1创新举措</w:t>
              </w:r>
            </w:sdtContent>
          </w:sdt>
          <w:r>
            <w:tab/>
          </w:r>
          <w:r>
            <w:t>37</w:t>
          </w:r>
          <w:r>
            <w:fldChar w:fldCharType="end"/>
          </w:r>
        </w:p>
        <w:p>
          <w:pPr>
            <w:pStyle w:val="12"/>
            <w:tabs>
              <w:tab w:val="right" w:leader="dot" w:pos="8306"/>
            </w:tabs>
          </w:pPr>
          <w:r>
            <w:fldChar w:fldCharType="begin"/>
          </w:r>
          <w:r>
            <w:instrText xml:space="preserve"> HYPERLINK \l _Toc3511 </w:instrText>
          </w:r>
          <w:r>
            <w:fldChar w:fldCharType="separate"/>
          </w:r>
          <w:sdt>
            <w:sdtPr>
              <w:rPr>
                <w:rFonts w:asciiTheme="minorHAnsi" w:hAnsiTheme="minorHAnsi" w:eastAsiaTheme="minorEastAsia" w:cstheme="minorBidi"/>
                <w:kern w:val="2"/>
                <w:sz w:val="21"/>
                <w:szCs w:val="21"/>
                <w:lang w:val="en-US" w:eastAsia="zh-CN" w:bidi="ar-SA"/>
              </w:rPr>
              <w:id w:val="147453685"/>
              <w:placeholder>
                <w:docPart w:val="{cdcbeb2f-010a-44f7-bd01-fdff7a9a4f81}"/>
              </w:placeholder>
            </w:sdtPr>
            <w:sdtEndPr>
              <w:rPr>
                <w:rFonts w:asciiTheme="minorHAnsi" w:hAnsiTheme="minorHAnsi" w:eastAsiaTheme="minorEastAsia" w:cstheme="minorBidi"/>
                <w:kern w:val="2"/>
                <w:sz w:val="21"/>
                <w:szCs w:val="21"/>
                <w:lang w:val="en-US" w:eastAsia="zh-CN" w:bidi="ar-SA"/>
              </w:rPr>
            </w:sdtEndPr>
            <w:sdtContent>
              <w:r>
                <w:rPr>
                  <w:rFonts w:hint="eastAsia" w:ascii="仿宋_GB2312" w:hAnsi="仿宋_GB2312" w:eastAsia="仿宋_GB2312" w:cs="仿宋_GB2312"/>
                </w:rPr>
                <w:t>6.2创新成果</w:t>
              </w:r>
            </w:sdtContent>
          </w:sdt>
          <w:r>
            <w:tab/>
          </w:r>
          <w:r>
            <w:t>38</w:t>
          </w:r>
          <w:r>
            <w:fldChar w:fldCharType="end"/>
          </w:r>
        </w:p>
        <w:p>
          <w:pPr>
            <w:pStyle w:val="11"/>
            <w:tabs>
              <w:tab w:val="right" w:leader="dot" w:pos="8306"/>
            </w:tabs>
          </w:pPr>
          <w:r>
            <w:rPr>
              <w:b/>
              <w:bCs/>
            </w:rPr>
            <w:fldChar w:fldCharType="begin"/>
          </w:r>
          <w:r>
            <w:instrText xml:space="preserve"> HYPERLINK \l _Toc13148 </w:instrText>
          </w:r>
          <w:r>
            <w:rPr>
              <w:b/>
              <w:bCs/>
            </w:rPr>
            <w:fldChar w:fldCharType="separate"/>
          </w:r>
          <w:sdt>
            <w:sdtPr>
              <w:rPr>
                <w:rFonts w:asciiTheme="minorHAnsi" w:hAnsiTheme="minorHAnsi" w:eastAsiaTheme="minorEastAsia" w:cstheme="minorBidi"/>
                <w:b/>
                <w:bCs/>
                <w:kern w:val="2"/>
                <w:sz w:val="21"/>
                <w:szCs w:val="21"/>
                <w:lang w:val="en-US" w:eastAsia="zh-CN" w:bidi="ar-SA"/>
              </w:rPr>
              <w:id w:val="147453685"/>
              <w:placeholder>
                <w:docPart w:val="{d1b7208a-1b1b-46ab-8115-e81736b388f7}"/>
              </w:placeholder>
            </w:sdtPr>
            <w:sdtEndPr>
              <w:rPr>
                <w:rFonts w:asciiTheme="minorHAnsi" w:hAnsiTheme="minorHAnsi" w:eastAsiaTheme="minorEastAsia" w:cstheme="minorBidi"/>
                <w:b/>
                <w:bCs/>
                <w:kern w:val="2"/>
                <w:sz w:val="21"/>
                <w:szCs w:val="21"/>
                <w:lang w:val="en-US" w:eastAsia="zh-CN" w:bidi="ar-SA"/>
              </w:rPr>
            </w:sdtEndPr>
            <w:sdtContent>
              <w:r>
                <w:rPr>
                  <w:rFonts w:hint="eastAsia" w:ascii="黑体" w:hAnsi="黑体" w:eastAsia="黑体" w:cs="黑体"/>
                  <w:b/>
                  <w:bCs/>
                </w:rPr>
                <w:t>7.服务贡献</w:t>
              </w:r>
            </w:sdtContent>
          </w:sdt>
          <w:r>
            <w:rPr>
              <w:b/>
              <w:bCs/>
            </w:rPr>
            <w:tab/>
          </w:r>
          <w:r>
            <w:rPr>
              <w:b/>
              <w:bCs/>
            </w:rPr>
            <w:t>40</w:t>
          </w:r>
          <w:r>
            <w:rPr>
              <w:b/>
              <w:bCs/>
            </w:rPr>
            <w:fldChar w:fldCharType="end"/>
          </w:r>
        </w:p>
        <w:p>
          <w:pPr>
            <w:pStyle w:val="12"/>
            <w:tabs>
              <w:tab w:val="right" w:leader="dot" w:pos="8306"/>
            </w:tabs>
          </w:pPr>
          <w:r>
            <w:fldChar w:fldCharType="begin"/>
          </w:r>
          <w:r>
            <w:instrText xml:space="preserve"> HYPERLINK \l _Toc31794 </w:instrText>
          </w:r>
          <w:r>
            <w:fldChar w:fldCharType="separate"/>
          </w:r>
          <w:sdt>
            <w:sdtPr>
              <w:rPr>
                <w:rFonts w:asciiTheme="minorHAnsi" w:hAnsiTheme="minorHAnsi" w:eastAsiaTheme="minorEastAsia" w:cstheme="minorBidi"/>
                <w:kern w:val="2"/>
                <w:sz w:val="21"/>
                <w:szCs w:val="21"/>
                <w:lang w:val="en-US" w:eastAsia="zh-CN" w:bidi="ar-SA"/>
              </w:rPr>
              <w:id w:val="147453685"/>
              <w:placeholder>
                <w:docPart w:val="{97b2595e-ddb7-444f-9b05-0a93e470fb79}"/>
              </w:placeholder>
            </w:sdtPr>
            <w:sdtEndPr>
              <w:rPr>
                <w:rFonts w:asciiTheme="minorHAnsi" w:hAnsiTheme="minorHAnsi" w:eastAsiaTheme="minorEastAsia" w:cstheme="minorBidi"/>
                <w:kern w:val="2"/>
                <w:sz w:val="21"/>
                <w:szCs w:val="21"/>
                <w:lang w:val="en-US" w:eastAsia="zh-CN" w:bidi="ar-SA"/>
              </w:rPr>
            </w:sdtEndPr>
            <w:sdtContent>
              <w:r>
                <w:rPr>
                  <w:rFonts w:hint="eastAsia" w:ascii="仿宋_GB2312" w:hAnsi="仿宋_GB2312" w:eastAsia="仿宋_GB2312" w:cs="仿宋_GB2312"/>
                </w:rPr>
                <w:t>7.1服务贡献表</w:t>
              </w:r>
            </w:sdtContent>
          </w:sdt>
          <w:r>
            <w:tab/>
          </w:r>
          <w:r>
            <w:t>40</w:t>
          </w:r>
          <w:r>
            <w:fldChar w:fldCharType="end"/>
          </w:r>
        </w:p>
        <w:p>
          <w:pPr>
            <w:pStyle w:val="12"/>
            <w:tabs>
              <w:tab w:val="right" w:leader="dot" w:pos="8306"/>
            </w:tabs>
          </w:pPr>
          <w:r>
            <w:fldChar w:fldCharType="begin"/>
          </w:r>
          <w:r>
            <w:instrText xml:space="preserve"> HYPERLINK \l _Toc11155 </w:instrText>
          </w:r>
          <w:r>
            <w:fldChar w:fldCharType="separate"/>
          </w:r>
          <w:sdt>
            <w:sdtPr>
              <w:rPr>
                <w:rFonts w:asciiTheme="minorHAnsi" w:hAnsiTheme="minorHAnsi" w:eastAsiaTheme="minorEastAsia" w:cstheme="minorBidi"/>
                <w:kern w:val="2"/>
                <w:sz w:val="21"/>
                <w:szCs w:val="21"/>
                <w:lang w:val="en-US" w:eastAsia="zh-CN" w:bidi="ar-SA"/>
              </w:rPr>
              <w:id w:val="147453685"/>
              <w:placeholder>
                <w:docPart w:val="{c6e46dc2-acf5-45e0-b4f3-c3e566357d2a}"/>
              </w:placeholder>
            </w:sdtPr>
            <w:sdtEndPr>
              <w:rPr>
                <w:rFonts w:asciiTheme="minorHAnsi" w:hAnsiTheme="minorHAnsi" w:eastAsiaTheme="minorEastAsia" w:cstheme="minorBidi"/>
                <w:kern w:val="2"/>
                <w:sz w:val="21"/>
                <w:szCs w:val="21"/>
                <w:lang w:val="en-US" w:eastAsia="zh-CN" w:bidi="ar-SA"/>
              </w:rPr>
            </w:sdtEndPr>
            <w:sdtContent>
              <w:r>
                <w:rPr>
                  <w:rFonts w:hint="eastAsia" w:ascii="仿宋_GB2312" w:hAnsi="仿宋_GB2312" w:eastAsia="仿宋_GB2312" w:cs="仿宋_GB2312"/>
                </w:rPr>
                <w:t>7.2服务三农</w:t>
              </w:r>
            </w:sdtContent>
          </w:sdt>
          <w:r>
            <w:tab/>
          </w:r>
          <w:r>
            <w:t>40</w:t>
          </w:r>
          <w:r>
            <w:fldChar w:fldCharType="end"/>
          </w:r>
        </w:p>
        <w:p>
          <w:pPr>
            <w:pStyle w:val="12"/>
            <w:tabs>
              <w:tab w:val="right" w:leader="dot" w:pos="8306"/>
            </w:tabs>
          </w:pPr>
          <w:r>
            <w:fldChar w:fldCharType="begin"/>
          </w:r>
          <w:r>
            <w:instrText xml:space="preserve"> HYPERLINK \l _Toc6707 </w:instrText>
          </w:r>
          <w:r>
            <w:fldChar w:fldCharType="separate"/>
          </w:r>
          <w:sdt>
            <w:sdtPr>
              <w:rPr>
                <w:rFonts w:asciiTheme="minorHAnsi" w:hAnsiTheme="minorHAnsi" w:eastAsiaTheme="minorEastAsia" w:cstheme="minorBidi"/>
                <w:kern w:val="2"/>
                <w:sz w:val="21"/>
                <w:szCs w:val="21"/>
                <w:lang w:val="en-US" w:eastAsia="zh-CN" w:bidi="ar-SA"/>
              </w:rPr>
              <w:id w:val="147453685"/>
              <w:placeholder>
                <w:docPart w:val="{0a75ec53-6226-4a02-a8f4-248503ccdf13}"/>
              </w:placeholder>
            </w:sdtPr>
            <w:sdtEndPr>
              <w:rPr>
                <w:rFonts w:asciiTheme="minorHAnsi" w:hAnsiTheme="minorHAnsi" w:eastAsiaTheme="minorEastAsia" w:cstheme="minorBidi"/>
                <w:kern w:val="2"/>
                <w:sz w:val="21"/>
                <w:szCs w:val="21"/>
                <w:lang w:val="en-US" w:eastAsia="zh-CN" w:bidi="ar-SA"/>
              </w:rPr>
            </w:sdtEndPr>
            <w:sdtContent>
              <w:r>
                <w:rPr>
                  <w:rFonts w:hint="eastAsia" w:ascii="仿宋_GB2312" w:hAnsi="仿宋_GB2312" w:eastAsia="仿宋_GB2312" w:cs="仿宋_GB2312"/>
                </w:rPr>
                <w:t>7.3精准扶贫</w:t>
              </w:r>
            </w:sdtContent>
          </w:sdt>
          <w:r>
            <w:tab/>
          </w:r>
          <w:r>
            <w:t>42</w:t>
          </w:r>
          <w:r>
            <w:fldChar w:fldCharType="end"/>
          </w:r>
        </w:p>
        <w:p>
          <w:pPr>
            <w:pStyle w:val="11"/>
            <w:tabs>
              <w:tab w:val="right" w:leader="dot" w:pos="8306"/>
            </w:tabs>
          </w:pPr>
          <w:r>
            <w:rPr>
              <w:b/>
              <w:bCs/>
            </w:rPr>
            <w:fldChar w:fldCharType="begin"/>
          </w:r>
          <w:r>
            <w:instrText xml:space="preserve"> HYPERLINK \l _Toc18615 </w:instrText>
          </w:r>
          <w:r>
            <w:rPr>
              <w:b/>
              <w:bCs/>
            </w:rPr>
            <w:fldChar w:fldCharType="separate"/>
          </w:r>
          <w:sdt>
            <w:sdtPr>
              <w:rPr>
                <w:rFonts w:asciiTheme="minorHAnsi" w:hAnsiTheme="minorHAnsi" w:eastAsiaTheme="minorEastAsia" w:cstheme="minorBidi"/>
                <w:b/>
                <w:bCs/>
                <w:kern w:val="2"/>
                <w:sz w:val="21"/>
                <w:szCs w:val="21"/>
                <w:lang w:val="en-US" w:eastAsia="zh-CN" w:bidi="ar-SA"/>
              </w:rPr>
              <w:id w:val="147453685"/>
              <w:placeholder>
                <w:docPart w:val="{c298d26e-0f02-403f-91d4-d0c23fcecbb4}"/>
              </w:placeholder>
            </w:sdtPr>
            <w:sdtEndPr>
              <w:rPr>
                <w:rFonts w:asciiTheme="minorHAnsi" w:hAnsiTheme="minorHAnsi" w:eastAsiaTheme="minorEastAsia" w:cstheme="minorBidi"/>
                <w:b/>
                <w:bCs/>
                <w:kern w:val="2"/>
                <w:sz w:val="21"/>
                <w:szCs w:val="21"/>
                <w:lang w:val="en-US" w:eastAsia="zh-CN" w:bidi="ar-SA"/>
              </w:rPr>
            </w:sdtEndPr>
            <w:sdtContent>
              <w:r>
                <w:rPr>
                  <w:rFonts w:hint="eastAsia" w:ascii="黑体" w:hAnsi="黑体" w:eastAsia="黑体" w:cs="黑体"/>
                  <w:b/>
                  <w:bCs/>
                </w:rPr>
                <w:t>8.问题与挑战</w:t>
              </w:r>
            </w:sdtContent>
          </w:sdt>
          <w:r>
            <w:rPr>
              <w:b/>
              <w:bCs/>
            </w:rPr>
            <w:tab/>
          </w:r>
          <w:r>
            <w:rPr>
              <w:b/>
              <w:bCs/>
            </w:rPr>
            <w:t>43</w:t>
          </w:r>
          <w:r>
            <w:rPr>
              <w:b/>
              <w:bCs/>
            </w:rP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240" w:lineRule="auto"/>
            <w:ind w:left="420" w:leftChars="200" w:right="0" w:rightChars="0" w:firstLine="0" w:firstLineChars="0"/>
            <w:jc w:val="left"/>
            <w:textAlignment w:val="auto"/>
            <w:outlineLvl w:val="9"/>
          </w:pPr>
          <w:r>
            <w:fldChar w:fldCharType="begin"/>
          </w:r>
          <w:r>
            <w:instrText xml:space="preserve"> HYPERLINK \l _Toc15345 </w:instrText>
          </w:r>
          <w:r>
            <w:fldChar w:fldCharType="separate"/>
          </w:r>
          <w:sdt>
            <w:sdtPr>
              <w:rPr>
                <w:rFonts w:asciiTheme="minorHAnsi" w:hAnsiTheme="minorHAnsi" w:eastAsiaTheme="minorEastAsia" w:cstheme="minorBidi"/>
                <w:kern w:val="2"/>
                <w:sz w:val="21"/>
                <w:szCs w:val="21"/>
                <w:lang w:val="en-US" w:eastAsia="zh-CN" w:bidi="ar-SA"/>
              </w:rPr>
              <w:id w:val="147453685"/>
              <w:placeholder>
                <w:docPart w:val="{d5d07555-43e5-418a-bedb-226b871f2c2a}"/>
              </w:placeholder>
            </w:sdtPr>
            <w:sdtEndPr>
              <w:rPr>
                <w:rFonts w:asciiTheme="minorHAnsi" w:hAnsiTheme="minorHAnsi" w:eastAsiaTheme="minorEastAsia" w:cstheme="minorBidi"/>
                <w:kern w:val="2"/>
                <w:sz w:val="21"/>
                <w:szCs w:val="21"/>
                <w:lang w:val="en-US" w:eastAsia="zh-CN" w:bidi="ar-SA"/>
              </w:rPr>
            </w:sdtEndPr>
            <w:sdtContent>
              <w:r>
                <w:rPr>
                  <w:rFonts w:hint="eastAsia" w:ascii="仿宋_GB2312" w:hAnsi="仿宋_GB2312" w:eastAsia="仿宋_GB2312" w:cs="仿宋_GB2312"/>
                </w:rPr>
                <w:t>8.1高质量时代对学校供给能力的挑战</w:t>
              </w:r>
            </w:sdtContent>
          </w:sdt>
          <w:r>
            <w:tab/>
          </w:r>
          <w:r>
            <w:t>43</w:t>
          </w:r>
          <w: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320" w:lineRule="exact"/>
            <w:ind w:left="420" w:leftChars="200" w:right="0" w:rightChars="0" w:firstLine="0" w:firstLineChars="0"/>
            <w:jc w:val="left"/>
            <w:textAlignment w:val="auto"/>
            <w:outlineLvl w:val="9"/>
          </w:pPr>
          <w:r>
            <w:fldChar w:fldCharType="begin"/>
          </w:r>
          <w:r>
            <w:instrText xml:space="preserve"> HYPERLINK \l _Toc23580 </w:instrText>
          </w:r>
          <w:r>
            <w:fldChar w:fldCharType="separate"/>
          </w:r>
          <w:sdt>
            <w:sdtPr>
              <w:rPr>
                <w:rFonts w:asciiTheme="minorHAnsi" w:hAnsiTheme="minorHAnsi" w:eastAsiaTheme="minorEastAsia" w:cstheme="minorBidi"/>
                <w:kern w:val="2"/>
                <w:sz w:val="21"/>
                <w:szCs w:val="21"/>
                <w:lang w:val="en-US" w:eastAsia="zh-CN" w:bidi="ar-SA"/>
              </w:rPr>
              <w:id w:val="147453685"/>
              <w:placeholder>
                <w:docPart w:val="{757b7e9d-2138-4545-a99c-ee450679a7b2}"/>
              </w:placeholder>
            </w:sdtPr>
            <w:sdtEndPr>
              <w:rPr>
                <w:rFonts w:asciiTheme="minorHAnsi" w:hAnsiTheme="minorHAnsi" w:eastAsiaTheme="minorEastAsia" w:cstheme="minorBidi"/>
                <w:kern w:val="2"/>
                <w:sz w:val="21"/>
                <w:szCs w:val="21"/>
                <w:lang w:val="en-US" w:eastAsia="zh-CN" w:bidi="ar-SA"/>
              </w:rPr>
            </w:sdtEndPr>
            <w:sdtContent>
              <w:r>
                <w:rPr>
                  <w:rFonts w:hint="eastAsia" w:ascii="仿宋_GB2312" w:hAnsi="仿宋_GB2312" w:eastAsia="仿宋_GB2312" w:cs="仿宋_GB2312"/>
                </w:rPr>
                <w:t>8.2新技术革命对学校资源配置的挑战</w:t>
              </w:r>
            </w:sdtContent>
          </w:sdt>
          <w:r>
            <w:tab/>
          </w:r>
          <w:r>
            <w:t>43</w:t>
          </w:r>
          <w: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320" w:lineRule="exact"/>
            <w:ind w:left="420" w:leftChars="200" w:right="0" w:rightChars="0" w:firstLine="0" w:firstLineChars="0"/>
            <w:jc w:val="left"/>
            <w:textAlignment w:val="auto"/>
            <w:outlineLvl w:val="9"/>
          </w:pPr>
          <w:r>
            <w:fldChar w:fldCharType="begin"/>
          </w:r>
          <w:r>
            <w:instrText xml:space="preserve"> HYPERLINK \l _Toc5452 </w:instrText>
          </w:r>
          <w:r>
            <w:fldChar w:fldCharType="separate"/>
          </w:r>
          <w:sdt>
            <w:sdtPr>
              <w:rPr>
                <w:rFonts w:asciiTheme="minorHAnsi" w:hAnsiTheme="minorHAnsi" w:eastAsiaTheme="minorEastAsia" w:cstheme="minorBidi"/>
                <w:kern w:val="2"/>
                <w:sz w:val="21"/>
                <w:szCs w:val="21"/>
                <w:lang w:val="en-US" w:eastAsia="zh-CN" w:bidi="ar-SA"/>
              </w:rPr>
              <w:id w:val="147453685"/>
              <w:placeholder>
                <w:docPart w:val="{f133c17d-32dd-4ac9-802e-1f590fca231e}"/>
              </w:placeholder>
            </w:sdtPr>
            <w:sdtEndPr>
              <w:rPr>
                <w:rFonts w:asciiTheme="minorHAnsi" w:hAnsiTheme="minorHAnsi" w:eastAsiaTheme="minorEastAsia" w:cstheme="minorBidi"/>
                <w:kern w:val="2"/>
                <w:sz w:val="21"/>
                <w:szCs w:val="21"/>
                <w:lang w:val="en-US" w:eastAsia="zh-CN" w:bidi="ar-SA"/>
              </w:rPr>
            </w:sdtEndPr>
            <w:sdtContent>
              <w:r>
                <w:rPr>
                  <w:rFonts w:hint="eastAsia" w:ascii="仿宋_GB2312" w:hAnsi="仿宋_GB2312" w:eastAsia="仿宋_GB2312" w:cs="仿宋_GB2312"/>
                </w:rPr>
                <w:t>8.3教育对象对传统教育模式的挑战</w:t>
              </w:r>
            </w:sdtContent>
          </w:sdt>
          <w:r>
            <w:tab/>
          </w:r>
          <w:r>
            <w:t>43</w:t>
          </w:r>
          <w:r>
            <w:fldChar w:fldCharType="end"/>
          </w:r>
        </w:p>
      </w:sdtContent>
    </w:sdt>
    <w:p>
      <w:pPr>
        <w:snapToGrid w:val="0"/>
        <w:jc w:val="center"/>
        <w:rPr>
          <w:rFonts w:eastAsia="方正小标宋简体"/>
          <w:sz w:val="44"/>
          <w:szCs w:val="44"/>
        </w:rPr>
        <w:sectPr>
          <w:footerReference r:id="rId8" w:type="default"/>
          <w:pgSz w:w="11906" w:h="16838"/>
          <w:pgMar w:top="1440" w:right="1800" w:bottom="1440" w:left="1800" w:header="851" w:footer="992" w:gutter="0"/>
          <w:pgNumType w:start="1"/>
          <w:cols w:space="425" w:num="1"/>
          <w:docGrid w:type="lines" w:linePitch="312" w:charSpace="0"/>
        </w:sectPr>
      </w:pPr>
    </w:p>
    <w:p>
      <w:pPr>
        <w:snapToGrid w:val="0"/>
        <w:jc w:val="center"/>
        <w:rPr>
          <w:rFonts w:eastAsia="方正小标宋简体"/>
          <w:sz w:val="44"/>
          <w:szCs w:val="44"/>
        </w:rPr>
      </w:pPr>
      <w:bookmarkStart w:id="2" w:name="_Toc18860"/>
      <w:bookmarkStart w:id="3" w:name="_Toc11887"/>
      <w:bookmarkStart w:id="4" w:name="_Toc17726"/>
      <w:bookmarkStart w:id="5" w:name="_Toc17588"/>
      <w:bookmarkStart w:id="6" w:name="_Toc32095"/>
      <w:r>
        <w:rPr>
          <w:rFonts w:hint="eastAsia" w:eastAsia="方正小标宋简体"/>
          <w:sz w:val="44"/>
          <w:szCs w:val="44"/>
        </w:rPr>
        <w:t>邵阳职业技术学院</w:t>
      </w:r>
      <w:bookmarkEnd w:id="0"/>
      <w:bookmarkEnd w:id="1"/>
      <w:bookmarkEnd w:id="2"/>
      <w:bookmarkEnd w:id="3"/>
      <w:bookmarkEnd w:id="4"/>
      <w:bookmarkEnd w:id="5"/>
      <w:bookmarkEnd w:id="6"/>
    </w:p>
    <w:p>
      <w:pPr>
        <w:jc w:val="center"/>
        <w:rPr>
          <w:rFonts w:eastAsia="方正小标宋简体"/>
          <w:sz w:val="44"/>
          <w:szCs w:val="44"/>
        </w:rPr>
      </w:pPr>
      <w:bookmarkStart w:id="7" w:name="_Toc6170"/>
      <w:bookmarkStart w:id="8" w:name="_Toc12493"/>
      <w:bookmarkStart w:id="9" w:name="_Toc21861"/>
      <w:bookmarkStart w:id="10" w:name="_Toc3682"/>
      <w:bookmarkStart w:id="11" w:name="_Toc446"/>
      <w:bookmarkStart w:id="12" w:name="_Toc14225"/>
      <w:bookmarkStart w:id="13" w:name="_Toc22947"/>
      <w:r>
        <w:rPr>
          <w:rFonts w:hint="eastAsia" w:eastAsia="方正小标宋简体"/>
          <w:sz w:val="44"/>
          <w:szCs w:val="44"/>
        </w:rPr>
        <w:t>高等职业教育</w:t>
      </w:r>
      <w:r>
        <w:rPr>
          <w:rFonts w:eastAsia="方正小标宋简体"/>
          <w:sz w:val="44"/>
          <w:szCs w:val="44"/>
        </w:rPr>
        <w:t>质量年度报告</w:t>
      </w:r>
      <w:r>
        <w:rPr>
          <w:rFonts w:hint="eastAsia" w:eastAsia="方正小标宋简体"/>
          <w:sz w:val="44"/>
          <w:szCs w:val="44"/>
        </w:rPr>
        <w:t>（2018）</w:t>
      </w:r>
      <w:bookmarkEnd w:id="7"/>
      <w:bookmarkEnd w:id="8"/>
      <w:bookmarkEnd w:id="9"/>
      <w:bookmarkEnd w:id="10"/>
      <w:bookmarkEnd w:id="11"/>
      <w:bookmarkEnd w:id="12"/>
      <w:bookmarkEnd w:id="13"/>
    </w:p>
    <w:p>
      <w:pPr>
        <w:rPr>
          <w:rFonts w:eastAsia="方正小标宋简体"/>
          <w:sz w:val="44"/>
          <w:szCs w:val="44"/>
        </w:rPr>
      </w:pPr>
    </w:p>
    <w:p>
      <w:pPr>
        <w:spacing w:line="540" w:lineRule="exact"/>
        <w:ind w:firstLine="560" w:firstLineChars="200"/>
        <w:rPr>
          <w:rFonts w:ascii="仿宋_GB2312" w:eastAsia="仿宋_GB2312"/>
          <w:sz w:val="28"/>
          <w:szCs w:val="28"/>
        </w:rPr>
      </w:pPr>
      <w:r>
        <w:rPr>
          <w:rFonts w:hint="eastAsia" w:ascii="仿宋_GB2312" w:eastAsia="仿宋_GB2312"/>
          <w:sz w:val="28"/>
          <w:szCs w:val="28"/>
        </w:rPr>
        <w:t>2017年，邵阳职业技术学院根据国家“十三·五”发展的新常态、高等职业教育发展的新趋势和学院发展所处的新阶段，精准把握中央、省、市关于高等职业教育发展的新要求、高职院校转型升级发展竞争激烈的新形势，围绕邵阳市委、市政府提出的“两中心一枢纽”战略目标，落实学院“十三五”发展规划，推行产教融合，校企合作，全面提升办学内涵，推动现代信息技术与教育教学深度融合，</w:t>
      </w:r>
      <w:r>
        <w:rPr>
          <w:rFonts w:hint="eastAsia" w:eastAsia="仿宋_GB2312"/>
          <w:sz w:val="28"/>
          <w:szCs w:val="28"/>
        </w:rPr>
        <w:t>全面实施</w:t>
      </w:r>
      <w:r>
        <w:rPr>
          <w:rFonts w:eastAsia="仿宋_GB2312"/>
          <w:sz w:val="28"/>
          <w:szCs w:val="28"/>
        </w:rPr>
        <w:t>“11338”</w:t>
      </w:r>
      <w:r>
        <w:rPr>
          <w:rFonts w:hint="eastAsia" w:eastAsia="仿宋_GB2312"/>
          <w:sz w:val="28"/>
          <w:szCs w:val="28"/>
        </w:rPr>
        <w:t>工程，</w:t>
      </w:r>
      <w:r>
        <w:rPr>
          <w:rFonts w:hint="eastAsia" w:ascii="仿宋_GB2312" w:eastAsia="仿宋_GB2312"/>
          <w:sz w:val="28"/>
          <w:szCs w:val="28"/>
        </w:rPr>
        <w:t>实现创新发展、内涵发展、特色发展，把学院建设成为在省内有较大影响力的集学历教育、职业培训、技能鉴定、技术服务“四位一体”的综合类高职学院。现将一年来的高等职业教育质量报告如下：</w:t>
      </w:r>
    </w:p>
    <w:p>
      <w:pPr>
        <w:rPr>
          <w:rFonts w:ascii="黑体" w:hAnsi="黑体" w:eastAsia="黑体" w:cs="黑体"/>
          <w:sz w:val="32"/>
          <w:szCs w:val="32"/>
        </w:rPr>
      </w:pPr>
    </w:p>
    <w:p>
      <w:pPr>
        <w:rPr>
          <w:rFonts w:ascii="仿宋_GB2312" w:hAnsi="仿宋_GB2312" w:eastAsia="仿宋_GB2312" w:cs="仿宋_GB2312"/>
          <w:b/>
          <w:bCs/>
          <w:sz w:val="32"/>
          <w:szCs w:val="32"/>
        </w:rPr>
      </w:pPr>
      <w:bookmarkStart w:id="14" w:name="_Toc2115"/>
      <w:bookmarkStart w:id="15" w:name="_Toc18370"/>
      <w:bookmarkStart w:id="16" w:name="_Toc8035"/>
      <w:bookmarkStart w:id="17" w:name="_Toc32141"/>
      <w:bookmarkStart w:id="18" w:name="_Toc7600"/>
      <w:bookmarkStart w:id="19" w:name="_Toc26021"/>
      <w:bookmarkStart w:id="20" w:name="_Toc29985"/>
      <w:r>
        <w:rPr>
          <w:rFonts w:hint="eastAsia" w:ascii="黑体" w:hAnsi="黑体" w:eastAsia="黑体" w:cs="黑体"/>
          <w:sz w:val="32"/>
          <w:szCs w:val="32"/>
        </w:rPr>
        <w:t>1.基本情况</w:t>
      </w:r>
      <w:bookmarkEnd w:id="14"/>
      <w:bookmarkEnd w:id="15"/>
      <w:bookmarkEnd w:id="16"/>
      <w:bookmarkEnd w:id="17"/>
      <w:bookmarkEnd w:id="18"/>
      <w:bookmarkEnd w:id="19"/>
      <w:bookmarkEnd w:id="20"/>
    </w:p>
    <w:p>
      <w:pPr>
        <w:spacing w:line="520" w:lineRule="exact"/>
        <w:rPr>
          <w:rFonts w:ascii="仿宋_GB2312" w:hAnsi="仿宋" w:eastAsia="仿宋_GB2312"/>
          <w:b/>
          <w:bCs/>
          <w:sz w:val="28"/>
          <w:szCs w:val="28"/>
        </w:rPr>
      </w:pPr>
      <w:bookmarkStart w:id="21" w:name="_Toc6106"/>
      <w:bookmarkStart w:id="22" w:name="_Toc28689"/>
      <w:bookmarkStart w:id="23" w:name="_Toc13592"/>
      <w:bookmarkStart w:id="24" w:name="_Toc26835"/>
      <w:bookmarkStart w:id="25" w:name="_Toc5805"/>
      <w:bookmarkStart w:id="26" w:name="_Toc31810"/>
      <w:bookmarkStart w:id="27" w:name="_Toc1054"/>
      <w:r>
        <w:rPr>
          <w:rFonts w:hint="eastAsia" w:ascii="仿宋_GB2312" w:hAnsi="仿宋" w:eastAsia="仿宋_GB2312"/>
          <w:b/>
          <w:bCs/>
          <w:sz w:val="28"/>
          <w:szCs w:val="28"/>
        </w:rPr>
        <w:t>1.1学校概况</w:t>
      </w:r>
      <w:bookmarkEnd w:id="21"/>
      <w:bookmarkEnd w:id="22"/>
      <w:bookmarkEnd w:id="23"/>
      <w:bookmarkEnd w:id="24"/>
      <w:bookmarkEnd w:id="25"/>
      <w:bookmarkEnd w:id="26"/>
      <w:bookmarkEnd w:id="27"/>
    </w:p>
    <w:p>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邵阳职业技术学院成立于2003年，由原邵阳市经贸学校（1952年）、邵阳市机电工程学校（1979年）和邵阳市农业学校（1957年）三校合并组建，经湖南省人民政府批准、教育部备案、邵阳市人民政府主办主管的全日制普通高等职业院校。</w:t>
      </w:r>
    </w:p>
    <w:p>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学院占地面积428915.72m</w:t>
      </w:r>
      <w:r>
        <w:rPr>
          <w:rFonts w:hint="eastAsia" w:ascii="仿宋_GB2312" w:hAnsi="仿宋" w:eastAsia="仿宋_GB2312"/>
          <w:sz w:val="28"/>
          <w:szCs w:val="28"/>
          <w:vertAlign w:val="superscript"/>
        </w:rPr>
        <w:t>2</w:t>
      </w:r>
      <w:r>
        <w:rPr>
          <w:rFonts w:hint="eastAsia" w:ascii="仿宋_GB2312" w:hAnsi="仿宋" w:eastAsia="仿宋_GB2312"/>
          <w:sz w:val="28"/>
          <w:szCs w:val="28"/>
        </w:rPr>
        <w:t>，其中总建筑面积203565.70m</w:t>
      </w:r>
      <w:r>
        <w:rPr>
          <w:rFonts w:hint="eastAsia" w:ascii="仿宋_GB2312" w:hAnsi="仿宋" w:eastAsia="仿宋_GB2312"/>
          <w:sz w:val="28"/>
          <w:szCs w:val="28"/>
          <w:vertAlign w:val="superscript"/>
        </w:rPr>
        <w:t>2</w:t>
      </w:r>
      <w:r>
        <w:rPr>
          <w:rFonts w:hint="eastAsia" w:ascii="仿宋_GB2312" w:hAnsi="仿宋" w:eastAsia="仿宋_GB2312"/>
          <w:sz w:val="28"/>
          <w:szCs w:val="28"/>
        </w:rPr>
        <w:t>，绿化面积172767.30m</w:t>
      </w:r>
      <w:r>
        <w:rPr>
          <w:rFonts w:hint="eastAsia" w:ascii="仿宋_GB2312" w:hAnsi="仿宋" w:eastAsia="仿宋_GB2312"/>
          <w:sz w:val="28"/>
          <w:szCs w:val="28"/>
          <w:vertAlign w:val="superscript"/>
        </w:rPr>
        <w:t>2</w:t>
      </w:r>
      <w:r>
        <w:rPr>
          <w:rFonts w:hint="eastAsia" w:ascii="仿宋_GB2312" w:hAnsi="仿宋" w:eastAsia="仿宋_GB2312"/>
          <w:sz w:val="28"/>
          <w:szCs w:val="28"/>
        </w:rPr>
        <w:t>，教学及辅助、行政办公用房面积45367.94m</w:t>
      </w:r>
      <w:r>
        <w:rPr>
          <w:rFonts w:hint="eastAsia" w:ascii="仿宋_GB2312" w:hAnsi="仿宋" w:eastAsia="仿宋_GB2312"/>
          <w:sz w:val="28"/>
          <w:szCs w:val="28"/>
          <w:vertAlign w:val="superscript"/>
        </w:rPr>
        <w:t>2</w:t>
      </w:r>
      <w:r>
        <w:rPr>
          <w:rFonts w:hint="eastAsia" w:ascii="仿宋_GB2312" w:hAnsi="仿宋" w:eastAsia="仿宋_GB2312"/>
          <w:sz w:val="28"/>
          <w:szCs w:val="28"/>
        </w:rPr>
        <w:t>，生均14.40m</w:t>
      </w:r>
      <w:r>
        <w:rPr>
          <w:rFonts w:hint="eastAsia" w:ascii="仿宋_GB2312" w:hAnsi="仿宋" w:eastAsia="仿宋_GB2312"/>
          <w:sz w:val="28"/>
          <w:szCs w:val="28"/>
          <w:vertAlign w:val="superscript"/>
        </w:rPr>
        <w:t>2</w:t>
      </w:r>
      <w:r>
        <w:rPr>
          <w:rFonts w:hint="eastAsia" w:ascii="仿宋_GB2312" w:hAnsi="仿宋" w:eastAsia="仿宋_GB2312"/>
          <w:sz w:val="28"/>
          <w:szCs w:val="28"/>
        </w:rPr>
        <w:t>。现有固定资产总值31345万元，其中教学仪器、设备总值2892.78万元。</w:t>
      </w:r>
    </w:p>
    <w:p>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学院设有电梯工程学院、汽车与智能制造学院、继续教育与培训学院、信息技术与创意系、财会工商系、生物工程系、建筑工程系、五年制大专部、思想政治教育部、公共课部等三院四系三部。现有湖南省先进装备制造示范性特色专业群建设项目1个，中央财政支持的提升专业服务产业发展能力重点建设专业2个，中央财政支持的职业教育实习实训基地2个，湖南省校企合作生产性实习实训基地1个。省级教改试点专业2个，省级精品专业1个，省级特色专业1个，院级特色专业7个，省经信委专项资金支持建设专业1个。2016年成为首批“湖南省企业人才培训示范基地”之一。学院内建有实训楼、汽车实训中心、建筑实训中心、电梯实训中心、工业机器人实训中心、移动互联应用开发实训室，与企业共建校外实训实习基地68个。</w:t>
      </w:r>
    </w:p>
    <w:p>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学院坚持“</w:t>
      </w:r>
      <w:r>
        <w:rPr>
          <w:rFonts w:hint="eastAsia" w:ascii="仿宋_GB2312" w:hAnsi="仿宋" w:eastAsia="仿宋_GB2312"/>
          <w:sz w:val="28"/>
          <w:szCs w:val="28"/>
          <w:lang w:eastAsia="zh-CN"/>
        </w:rPr>
        <w:t>把学校当家、把学生当亲人</w:t>
      </w:r>
      <w:r>
        <w:rPr>
          <w:rFonts w:hint="eastAsia" w:ascii="仿宋_GB2312" w:hAnsi="仿宋" w:eastAsia="仿宋_GB2312"/>
          <w:sz w:val="28"/>
          <w:szCs w:val="28"/>
        </w:rPr>
        <w:t>、</w:t>
      </w:r>
      <w:r>
        <w:rPr>
          <w:rFonts w:hint="eastAsia" w:ascii="仿宋_GB2312" w:hAnsi="仿宋" w:eastAsia="仿宋_GB2312"/>
          <w:sz w:val="28"/>
          <w:szCs w:val="28"/>
          <w:lang w:eastAsia="zh-CN"/>
        </w:rPr>
        <w:t>把育人当事业</w:t>
      </w:r>
      <w:r>
        <w:rPr>
          <w:rFonts w:hint="eastAsia" w:ascii="仿宋_GB2312" w:hAnsi="仿宋" w:eastAsia="仿宋_GB2312"/>
          <w:sz w:val="28"/>
          <w:szCs w:val="28"/>
        </w:rPr>
        <w:t>”的办学思想，秉承“明德、笃学、强能”的校训，践行“教书育人、服务育人、管理育人、环境育人、文化育人”的理念，坚持内涵发展、特色发展、创新发展战略，以特色创优势、以创新谋发展、以服务求支持、以市场为导向，服务区域经济社会发展。近年来，学院获得教学大赛国家级奖</w:t>
      </w:r>
      <w:r>
        <w:rPr>
          <w:rFonts w:hint="eastAsia" w:ascii="仿宋_GB2312" w:hAnsi="仿宋" w:eastAsia="仿宋_GB2312"/>
          <w:sz w:val="28"/>
          <w:szCs w:val="28"/>
          <w:lang w:val="en-US" w:eastAsia="zh-CN"/>
        </w:rPr>
        <w:t>13</w:t>
      </w:r>
      <w:r>
        <w:rPr>
          <w:rFonts w:hint="eastAsia" w:ascii="仿宋_GB2312" w:hAnsi="仿宋" w:eastAsia="仿宋_GB2312"/>
          <w:sz w:val="28"/>
          <w:szCs w:val="28"/>
        </w:rPr>
        <w:t>项，省级奖</w:t>
      </w:r>
      <w:r>
        <w:rPr>
          <w:rFonts w:hint="eastAsia" w:ascii="仿宋_GB2312" w:hAnsi="仿宋" w:eastAsia="仿宋_GB2312"/>
          <w:sz w:val="28"/>
          <w:szCs w:val="28"/>
          <w:lang w:val="en-US" w:eastAsia="zh-CN"/>
        </w:rPr>
        <w:t>114</w:t>
      </w:r>
      <w:r>
        <w:rPr>
          <w:rFonts w:hint="eastAsia" w:ascii="仿宋_GB2312" w:hAnsi="仿宋" w:eastAsia="仿宋_GB2312"/>
          <w:sz w:val="28"/>
          <w:szCs w:val="28"/>
        </w:rPr>
        <w:t>项。</w:t>
      </w:r>
    </w:p>
    <w:p>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学院先后被评为湖南省高等学校就业先进单位、省职业技能鉴定先进单位、邵阳市党风廉政建设先进单位、</w:t>
      </w:r>
      <w:r>
        <w:rPr>
          <w:rFonts w:hint="eastAsia" w:ascii="仿宋_GB2312" w:hAnsi="仿宋" w:eastAsia="仿宋_GB2312"/>
          <w:sz w:val="28"/>
          <w:szCs w:val="28"/>
          <w:lang w:eastAsia="zh-CN"/>
        </w:rPr>
        <w:t>邵阳</w:t>
      </w:r>
      <w:r>
        <w:rPr>
          <w:rFonts w:hint="eastAsia" w:ascii="仿宋_GB2312" w:hAnsi="仿宋" w:eastAsia="仿宋_GB2312"/>
          <w:sz w:val="28"/>
          <w:szCs w:val="28"/>
        </w:rPr>
        <w:t>市综合治理先进单位、</w:t>
      </w:r>
      <w:r>
        <w:rPr>
          <w:rFonts w:hint="eastAsia" w:ascii="仿宋_GB2312" w:hAnsi="仿宋" w:eastAsia="仿宋_GB2312"/>
          <w:sz w:val="28"/>
          <w:szCs w:val="28"/>
          <w:lang w:eastAsia="zh-CN"/>
        </w:rPr>
        <w:t>邵阳</w:t>
      </w:r>
      <w:r>
        <w:rPr>
          <w:rFonts w:hint="eastAsia" w:ascii="仿宋_GB2312" w:hAnsi="仿宋" w:eastAsia="仿宋_GB2312"/>
          <w:sz w:val="28"/>
          <w:szCs w:val="28"/>
        </w:rPr>
        <w:t>市公众满意学校。</w:t>
      </w:r>
    </w:p>
    <w:p>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学院正朝着服务地方经济社会发展、领军邵阳职业教育，省内外有较大影响力的现代高职院校而迈进。</w:t>
      </w:r>
    </w:p>
    <w:p>
      <w:pPr>
        <w:spacing w:line="520" w:lineRule="exact"/>
        <w:rPr>
          <w:rFonts w:ascii="仿宋_GB2312" w:hAnsi="仿宋_GB2312" w:eastAsia="仿宋_GB2312" w:cs="仿宋_GB2312"/>
          <w:b/>
          <w:bCs/>
          <w:sz w:val="32"/>
          <w:szCs w:val="32"/>
        </w:rPr>
      </w:pPr>
      <w:bookmarkStart w:id="28" w:name="_Toc13612"/>
      <w:bookmarkStart w:id="29" w:name="_Toc8238"/>
      <w:bookmarkStart w:id="30" w:name="_Toc28598"/>
      <w:bookmarkStart w:id="31" w:name="_Toc15989"/>
      <w:bookmarkStart w:id="32" w:name="_Toc7051"/>
      <w:bookmarkStart w:id="33" w:name="_Toc30059"/>
      <w:bookmarkStart w:id="34" w:name="_Toc27523"/>
      <w:r>
        <w:rPr>
          <w:rFonts w:hint="eastAsia" w:ascii="仿宋_GB2312" w:hAnsi="仿宋_GB2312" w:eastAsia="仿宋_GB2312" w:cs="仿宋_GB2312"/>
          <w:b/>
          <w:bCs/>
          <w:sz w:val="32"/>
          <w:szCs w:val="32"/>
        </w:rPr>
        <w:t>1.2学生情况</w:t>
      </w:r>
      <w:bookmarkEnd w:id="28"/>
      <w:bookmarkEnd w:id="29"/>
      <w:bookmarkEnd w:id="30"/>
      <w:bookmarkEnd w:id="31"/>
      <w:bookmarkEnd w:id="32"/>
      <w:bookmarkEnd w:id="33"/>
      <w:bookmarkEnd w:id="34"/>
    </w:p>
    <w:p>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随着学院办学条件不断改善和人才培养质量不断提高，学院学生规模不断扩大，2016年招收高职新生2321人，高职生数量继续增长（见表1-1），结构进一步优化（见表1-2）。</w:t>
      </w:r>
    </w:p>
    <w:p>
      <w:pPr>
        <w:spacing w:line="360" w:lineRule="auto"/>
        <w:ind w:firstLine="482" w:firstLineChars="200"/>
        <w:jc w:val="center"/>
        <w:rPr>
          <w:rFonts w:ascii="仿宋_GB2312" w:hAnsi="仿宋" w:eastAsia="仿宋_GB2312"/>
          <w:b/>
          <w:bCs/>
          <w:sz w:val="24"/>
          <w:szCs w:val="24"/>
        </w:rPr>
      </w:pPr>
    </w:p>
    <w:p>
      <w:pPr>
        <w:spacing w:line="360" w:lineRule="auto"/>
        <w:ind w:firstLine="482" w:firstLineChars="200"/>
        <w:jc w:val="center"/>
        <w:rPr>
          <w:rFonts w:ascii="仿宋_GB2312" w:hAnsi="仿宋" w:eastAsia="仿宋_GB2312"/>
          <w:b/>
          <w:bCs/>
          <w:sz w:val="24"/>
          <w:szCs w:val="24"/>
        </w:rPr>
      </w:pPr>
      <w:r>
        <w:rPr>
          <w:rFonts w:hint="eastAsia" w:ascii="仿宋_GB2312" w:hAnsi="仿宋" w:eastAsia="仿宋_GB2312"/>
          <w:b/>
          <w:bCs/>
          <w:sz w:val="24"/>
          <w:szCs w:val="24"/>
        </w:rPr>
        <w:t>表</w:t>
      </w:r>
      <w:r>
        <w:rPr>
          <w:rFonts w:hint="eastAsia" w:ascii="Times New Roman" w:hAnsi="Times New Roman" w:eastAsia="仿宋_GB2312"/>
          <w:b/>
          <w:bCs/>
          <w:sz w:val="24"/>
          <w:szCs w:val="24"/>
        </w:rPr>
        <w:t xml:space="preserve">1-1 </w:t>
      </w:r>
      <w:r>
        <w:rPr>
          <w:rFonts w:hint="eastAsia" w:ascii="仿宋_GB2312" w:hAnsi="仿宋" w:eastAsia="仿宋_GB2312"/>
          <w:b/>
          <w:bCs/>
          <w:sz w:val="24"/>
          <w:szCs w:val="24"/>
        </w:rPr>
        <w:t xml:space="preserve">  学生规模表</w:t>
      </w:r>
    </w:p>
    <w:tbl>
      <w:tblPr>
        <w:tblStyle w:val="8"/>
        <w:tblW w:w="8490" w:type="dxa"/>
        <w:jc w:val="center"/>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5"/>
        <w:gridCol w:w="3405"/>
        <w:gridCol w:w="1560"/>
        <w:gridCol w:w="1290"/>
        <w:gridCol w:w="14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65"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序号</w:t>
            </w:r>
          </w:p>
        </w:tc>
        <w:tc>
          <w:tcPr>
            <w:tcW w:w="3405"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指  标</w:t>
            </w:r>
          </w:p>
        </w:tc>
        <w:tc>
          <w:tcPr>
            <w:tcW w:w="1560"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2016年</w:t>
            </w:r>
          </w:p>
        </w:tc>
        <w:tc>
          <w:tcPr>
            <w:tcW w:w="1290"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2017年</w:t>
            </w:r>
          </w:p>
        </w:tc>
        <w:tc>
          <w:tcPr>
            <w:tcW w:w="1470"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lang w:eastAsia="zh-CN"/>
              </w:rPr>
              <w:t>增长</w:t>
            </w:r>
            <w:r>
              <w:rPr>
                <w:rFonts w:hint="eastAsia" w:ascii="Times New Roman" w:hAnsi="Times New Roman" w:eastAsia="仿宋_GB2312"/>
                <w:b/>
                <w:bCs/>
              </w:rPr>
              <w:t>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765"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1</w:t>
            </w:r>
          </w:p>
        </w:tc>
        <w:tc>
          <w:tcPr>
            <w:tcW w:w="3405"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仿宋_GB2312" w:hAnsi="仿宋_GB2312" w:eastAsia="仿宋_GB2312" w:cs="仿宋_GB2312"/>
                <w:bCs/>
                <w:sz w:val="21"/>
                <w:szCs w:val="21"/>
              </w:rPr>
              <w:t>在校生规模（人）</w:t>
            </w:r>
          </w:p>
        </w:tc>
        <w:tc>
          <w:tcPr>
            <w:tcW w:w="156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6792</w:t>
            </w:r>
          </w:p>
        </w:tc>
        <w:tc>
          <w:tcPr>
            <w:tcW w:w="129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6837</w:t>
            </w:r>
          </w:p>
        </w:tc>
        <w:tc>
          <w:tcPr>
            <w:tcW w:w="147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3.95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765"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2</w:t>
            </w:r>
          </w:p>
        </w:tc>
        <w:tc>
          <w:tcPr>
            <w:tcW w:w="3405"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仿宋_GB2312" w:hAnsi="仿宋_GB2312" w:eastAsia="仿宋_GB2312" w:cs="仿宋_GB2312"/>
                <w:bCs/>
                <w:sz w:val="21"/>
                <w:szCs w:val="21"/>
              </w:rPr>
              <w:t>毕业生规模（人）</w:t>
            </w:r>
          </w:p>
        </w:tc>
        <w:tc>
          <w:tcPr>
            <w:tcW w:w="156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1189</w:t>
            </w:r>
          </w:p>
        </w:tc>
        <w:tc>
          <w:tcPr>
            <w:tcW w:w="129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985</w:t>
            </w:r>
          </w:p>
        </w:tc>
        <w:tc>
          <w:tcPr>
            <w:tcW w:w="147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-17.16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765"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3</w:t>
            </w:r>
          </w:p>
        </w:tc>
        <w:tc>
          <w:tcPr>
            <w:tcW w:w="3405"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仿宋_GB2312" w:hAnsi="仿宋_GB2312" w:eastAsia="仿宋_GB2312" w:cs="仿宋_GB2312"/>
                <w:bCs/>
                <w:sz w:val="21"/>
                <w:szCs w:val="21"/>
              </w:rPr>
              <w:t>巩固率（%）</w:t>
            </w:r>
          </w:p>
        </w:tc>
        <w:tc>
          <w:tcPr>
            <w:tcW w:w="156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96.01</w:t>
            </w:r>
          </w:p>
        </w:tc>
        <w:tc>
          <w:tcPr>
            <w:tcW w:w="129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93.51</w:t>
            </w:r>
          </w:p>
        </w:tc>
        <w:tc>
          <w:tcPr>
            <w:tcW w:w="147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--2.</w:t>
            </w:r>
            <w:r>
              <w:rPr>
                <w:rFonts w:hint="eastAsia" w:ascii="Times New Roman" w:hAnsi="Times New Roman" w:eastAsia="仿宋_GB2312"/>
                <w:sz w:val="21"/>
                <w:szCs w:val="21"/>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765"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4</w:t>
            </w:r>
          </w:p>
        </w:tc>
        <w:tc>
          <w:tcPr>
            <w:tcW w:w="3405"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仿宋_GB2312" w:hAnsi="仿宋_GB2312" w:eastAsia="仿宋_GB2312" w:cs="仿宋_GB2312"/>
                <w:bCs/>
                <w:sz w:val="21"/>
                <w:szCs w:val="21"/>
              </w:rPr>
              <w:t>培训规模（人）</w:t>
            </w:r>
          </w:p>
        </w:tc>
        <w:tc>
          <w:tcPr>
            <w:tcW w:w="156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1253</w:t>
            </w:r>
          </w:p>
        </w:tc>
        <w:tc>
          <w:tcPr>
            <w:tcW w:w="129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1578</w:t>
            </w:r>
          </w:p>
        </w:tc>
        <w:tc>
          <w:tcPr>
            <w:tcW w:w="147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25.94</w:t>
            </w:r>
          </w:p>
        </w:tc>
      </w:tr>
    </w:tbl>
    <w:p>
      <w:pPr>
        <w:spacing w:line="360" w:lineRule="auto"/>
        <w:jc w:val="center"/>
        <w:rPr>
          <w:rFonts w:ascii="仿宋_GB2312" w:hAnsi="仿宋" w:eastAsia="仿宋_GB2312"/>
          <w:b/>
          <w:bCs/>
          <w:sz w:val="24"/>
          <w:szCs w:val="24"/>
        </w:rPr>
      </w:pPr>
      <w:r>
        <w:rPr>
          <w:rFonts w:hint="eastAsia" w:ascii="楷体" w:hAnsi="楷体" w:eastAsia="楷体" w:cs="楷体"/>
        </w:rPr>
        <w:t>数据来源：学院人才培养工作状态数据平台</w:t>
      </w:r>
    </w:p>
    <w:p>
      <w:pPr>
        <w:spacing w:line="360" w:lineRule="auto"/>
        <w:ind w:firstLine="482" w:firstLineChars="200"/>
        <w:jc w:val="center"/>
        <w:rPr>
          <w:rFonts w:ascii="仿宋_GB2312" w:hAnsi="仿宋" w:eastAsia="仿宋_GB2312"/>
          <w:b/>
          <w:bCs/>
          <w:sz w:val="24"/>
          <w:szCs w:val="24"/>
        </w:rPr>
      </w:pPr>
      <w:r>
        <w:rPr>
          <w:rFonts w:hint="eastAsia" w:ascii="仿宋_GB2312" w:hAnsi="仿宋" w:eastAsia="仿宋_GB2312"/>
          <w:b/>
          <w:bCs/>
          <w:sz w:val="24"/>
          <w:szCs w:val="24"/>
        </w:rPr>
        <w:t>表</w:t>
      </w:r>
      <w:r>
        <w:rPr>
          <w:rFonts w:hint="eastAsia" w:ascii="Times New Roman" w:hAnsi="Times New Roman" w:eastAsia="仿宋_GB2312"/>
          <w:b/>
          <w:bCs/>
          <w:sz w:val="24"/>
          <w:szCs w:val="24"/>
        </w:rPr>
        <w:t xml:space="preserve">1-2 </w:t>
      </w:r>
      <w:r>
        <w:rPr>
          <w:rFonts w:hint="eastAsia" w:ascii="仿宋_GB2312" w:hAnsi="仿宋" w:eastAsia="仿宋_GB2312"/>
          <w:b/>
          <w:bCs/>
          <w:sz w:val="24"/>
          <w:szCs w:val="24"/>
        </w:rPr>
        <w:t xml:space="preserve"> 学生结构表</w:t>
      </w:r>
    </w:p>
    <w:tbl>
      <w:tblPr>
        <w:tblStyle w:val="8"/>
        <w:tblW w:w="8490" w:type="dxa"/>
        <w:jc w:val="center"/>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5"/>
        <w:gridCol w:w="3405"/>
        <w:gridCol w:w="1560"/>
        <w:gridCol w:w="1290"/>
        <w:gridCol w:w="14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65"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序号</w:t>
            </w:r>
          </w:p>
        </w:tc>
        <w:tc>
          <w:tcPr>
            <w:tcW w:w="3405"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指  标</w:t>
            </w:r>
          </w:p>
        </w:tc>
        <w:tc>
          <w:tcPr>
            <w:tcW w:w="1560"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2016年</w:t>
            </w:r>
          </w:p>
        </w:tc>
        <w:tc>
          <w:tcPr>
            <w:tcW w:w="1290"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2017年</w:t>
            </w:r>
          </w:p>
        </w:tc>
        <w:tc>
          <w:tcPr>
            <w:tcW w:w="1470"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增长率（%）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765"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1</w:t>
            </w:r>
          </w:p>
        </w:tc>
        <w:tc>
          <w:tcPr>
            <w:tcW w:w="3405"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高职生（人）</w:t>
            </w:r>
          </w:p>
        </w:tc>
        <w:tc>
          <w:tcPr>
            <w:tcW w:w="156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3437</w:t>
            </w:r>
          </w:p>
        </w:tc>
        <w:tc>
          <w:tcPr>
            <w:tcW w:w="129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3573</w:t>
            </w:r>
          </w:p>
        </w:tc>
        <w:tc>
          <w:tcPr>
            <w:tcW w:w="147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3.95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765"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2</w:t>
            </w:r>
          </w:p>
        </w:tc>
        <w:tc>
          <w:tcPr>
            <w:tcW w:w="3405"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五年制高职前三年（人）</w:t>
            </w:r>
          </w:p>
        </w:tc>
        <w:tc>
          <w:tcPr>
            <w:tcW w:w="156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2322</w:t>
            </w:r>
          </w:p>
        </w:tc>
        <w:tc>
          <w:tcPr>
            <w:tcW w:w="129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2786</w:t>
            </w:r>
          </w:p>
        </w:tc>
        <w:tc>
          <w:tcPr>
            <w:tcW w:w="147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19.98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765"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3</w:t>
            </w:r>
          </w:p>
        </w:tc>
        <w:tc>
          <w:tcPr>
            <w:tcW w:w="3405"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中职生（人）</w:t>
            </w:r>
          </w:p>
        </w:tc>
        <w:tc>
          <w:tcPr>
            <w:tcW w:w="156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512</w:t>
            </w:r>
          </w:p>
        </w:tc>
        <w:tc>
          <w:tcPr>
            <w:tcW w:w="129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443</w:t>
            </w:r>
          </w:p>
        </w:tc>
        <w:tc>
          <w:tcPr>
            <w:tcW w:w="147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-13.48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765"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4</w:t>
            </w:r>
          </w:p>
        </w:tc>
        <w:tc>
          <w:tcPr>
            <w:tcW w:w="3405"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总人数（人）</w:t>
            </w:r>
          </w:p>
        </w:tc>
        <w:tc>
          <w:tcPr>
            <w:tcW w:w="156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6792</w:t>
            </w:r>
          </w:p>
        </w:tc>
        <w:tc>
          <w:tcPr>
            <w:tcW w:w="129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6837</w:t>
            </w:r>
          </w:p>
        </w:tc>
        <w:tc>
          <w:tcPr>
            <w:tcW w:w="147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0.66</w:t>
            </w:r>
          </w:p>
        </w:tc>
      </w:tr>
    </w:tbl>
    <w:p>
      <w:pPr>
        <w:spacing w:line="360" w:lineRule="auto"/>
        <w:jc w:val="center"/>
        <w:rPr>
          <w:rFonts w:ascii="仿宋_GB2312" w:eastAsia="仿宋_GB2312"/>
          <w:color w:val="0000FF"/>
          <w:sz w:val="32"/>
          <w:szCs w:val="32"/>
        </w:rPr>
      </w:pPr>
      <w:r>
        <w:rPr>
          <w:rFonts w:hint="eastAsia" w:ascii="楷体" w:hAnsi="楷体" w:eastAsia="楷体" w:cs="楷体"/>
        </w:rPr>
        <w:t>数据来源：学院人才培养工作状态数据平台</w:t>
      </w:r>
    </w:p>
    <w:p>
      <w:pPr>
        <w:spacing w:line="520" w:lineRule="exact"/>
        <w:rPr>
          <w:rFonts w:ascii="仿宋_GB2312" w:hAnsi="仿宋" w:eastAsia="仿宋_GB2312"/>
          <w:sz w:val="28"/>
          <w:szCs w:val="28"/>
        </w:rPr>
      </w:pPr>
      <w:bookmarkStart w:id="35" w:name="_Toc7703"/>
      <w:bookmarkStart w:id="36" w:name="_Toc10256"/>
      <w:bookmarkStart w:id="37" w:name="_Toc29195"/>
      <w:bookmarkStart w:id="38" w:name="_Toc16071"/>
      <w:bookmarkStart w:id="39" w:name="_Toc24256"/>
      <w:bookmarkStart w:id="40" w:name="_Toc20262"/>
      <w:bookmarkStart w:id="41" w:name="_Toc2326"/>
      <w:r>
        <w:rPr>
          <w:rFonts w:hint="eastAsia" w:ascii="仿宋_GB2312" w:hAnsi="仿宋_GB2312" w:eastAsia="仿宋_GB2312" w:cs="仿宋_GB2312"/>
          <w:b/>
          <w:bCs/>
          <w:sz w:val="28"/>
          <w:szCs w:val="28"/>
        </w:rPr>
        <w:t>1.3教师队伍</w:t>
      </w:r>
      <w:bookmarkEnd w:id="35"/>
      <w:bookmarkEnd w:id="36"/>
      <w:bookmarkEnd w:id="37"/>
      <w:bookmarkEnd w:id="38"/>
      <w:bookmarkEnd w:id="39"/>
      <w:bookmarkEnd w:id="40"/>
      <w:bookmarkEnd w:id="41"/>
    </w:p>
    <w:p>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学院现有教职工</w:t>
      </w:r>
      <w:r>
        <w:rPr>
          <w:rFonts w:ascii="仿宋_GB2312" w:hAnsi="仿宋" w:eastAsia="仿宋_GB2312"/>
          <w:sz w:val="28"/>
          <w:szCs w:val="28"/>
        </w:rPr>
        <w:t>3</w:t>
      </w:r>
      <w:r>
        <w:rPr>
          <w:rFonts w:hint="eastAsia" w:ascii="仿宋_GB2312" w:hAnsi="仿宋" w:eastAsia="仿宋_GB2312"/>
          <w:sz w:val="28"/>
          <w:szCs w:val="28"/>
        </w:rPr>
        <w:t>8</w:t>
      </w:r>
      <w:r>
        <w:rPr>
          <w:rFonts w:hint="eastAsia" w:ascii="仿宋_GB2312" w:hAnsi="仿宋" w:eastAsia="仿宋_GB2312"/>
          <w:sz w:val="28"/>
          <w:szCs w:val="28"/>
          <w:lang w:val="en-US" w:eastAsia="zh-CN"/>
        </w:rPr>
        <w:t>8</w:t>
      </w:r>
      <w:r>
        <w:rPr>
          <w:rFonts w:hint="eastAsia" w:ascii="仿宋_GB2312" w:hAnsi="仿宋" w:eastAsia="仿宋_GB2312"/>
          <w:sz w:val="28"/>
          <w:szCs w:val="28"/>
        </w:rPr>
        <w:t>人，专任教师</w:t>
      </w:r>
      <w:r>
        <w:rPr>
          <w:rFonts w:ascii="仿宋_GB2312" w:hAnsi="仿宋" w:eastAsia="仿宋_GB2312"/>
          <w:sz w:val="28"/>
          <w:szCs w:val="28"/>
        </w:rPr>
        <w:t>2</w:t>
      </w:r>
      <w:r>
        <w:rPr>
          <w:rFonts w:hint="eastAsia" w:ascii="仿宋_GB2312" w:hAnsi="仿宋" w:eastAsia="仿宋_GB2312"/>
          <w:sz w:val="28"/>
          <w:szCs w:val="28"/>
          <w:lang w:val="en-US" w:eastAsia="zh-CN"/>
        </w:rPr>
        <w:t>51</w:t>
      </w:r>
      <w:r>
        <w:rPr>
          <w:rFonts w:hint="eastAsia" w:ascii="仿宋_GB2312" w:hAnsi="仿宋" w:eastAsia="仿宋_GB2312"/>
          <w:sz w:val="28"/>
          <w:szCs w:val="28"/>
        </w:rPr>
        <w:t>人，专任教师占全体教职工的</w:t>
      </w:r>
      <w:r>
        <w:rPr>
          <w:rFonts w:hint="eastAsia" w:ascii="仿宋_GB2312" w:hAnsi="仿宋" w:eastAsia="仿宋_GB2312"/>
          <w:sz w:val="28"/>
          <w:szCs w:val="28"/>
          <w:lang w:val="en-US" w:eastAsia="zh-CN"/>
        </w:rPr>
        <w:t>64</w:t>
      </w:r>
      <w:r>
        <w:rPr>
          <w:rFonts w:hint="eastAsia" w:ascii="仿宋_GB2312" w:hAnsi="仿宋" w:eastAsia="仿宋_GB2312"/>
          <w:sz w:val="28"/>
          <w:szCs w:val="28"/>
        </w:rPr>
        <w:t>.6</w:t>
      </w:r>
      <w:r>
        <w:rPr>
          <w:rFonts w:hint="eastAsia" w:ascii="仿宋_GB2312" w:hAnsi="仿宋" w:eastAsia="仿宋_GB2312"/>
          <w:sz w:val="28"/>
          <w:szCs w:val="28"/>
          <w:lang w:val="en-US" w:eastAsia="zh-CN"/>
        </w:rPr>
        <w:t>9</w:t>
      </w:r>
      <w:r>
        <w:rPr>
          <w:rFonts w:hint="eastAsia" w:ascii="仿宋_GB2312" w:hAnsi="仿宋" w:eastAsia="仿宋_GB2312"/>
          <w:sz w:val="28"/>
          <w:szCs w:val="28"/>
        </w:rPr>
        <w:t>%。教师队伍变化总体平稳,但由于新进教师较多，双师型教师比例有所下降（见表1-3）。</w:t>
      </w:r>
    </w:p>
    <w:p>
      <w:pPr>
        <w:spacing w:line="360" w:lineRule="auto"/>
        <w:jc w:val="center"/>
        <w:rPr>
          <w:rFonts w:ascii="仿宋_GB2312" w:hAnsi="仿宋" w:eastAsia="仿宋_GB2312"/>
          <w:b/>
          <w:bCs/>
          <w:sz w:val="24"/>
          <w:szCs w:val="24"/>
        </w:rPr>
      </w:pPr>
      <w:r>
        <w:rPr>
          <w:rFonts w:hint="eastAsia" w:ascii="仿宋_GB2312" w:hAnsi="仿宋" w:eastAsia="仿宋_GB2312"/>
          <w:b/>
          <w:bCs/>
          <w:sz w:val="24"/>
          <w:szCs w:val="24"/>
        </w:rPr>
        <w:t>表</w:t>
      </w:r>
      <w:r>
        <w:rPr>
          <w:rFonts w:hint="eastAsia" w:ascii="Times New Roman" w:hAnsi="Times New Roman" w:eastAsia="仿宋_GB2312"/>
          <w:b/>
          <w:bCs/>
          <w:sz w:val="24"/>
          <w:szCs w:val="24"/>
        </w:rPr>
        <w:t xml:space="preserve">1-3 </w:t>
      </w:r>
      <w:r>
        <w:rPr>
          <w:rFonts w:hint="eastAsia" w:ascii="仿宋_GB2312" w:hAnsi="仿宋" w:eastAsia="仿宋_GB2312"/>
          <w:b/>
          <w:bCs/>
          <w:sz w:val="24"/>
          <w:szCs w:val="24"/>
        </w:rPr>
        <w:t xml:space="preserve">  专任教师情况表</w:t>
      </w:r>
    </w:p>
    <w:tbl>
      <w:tblPr>
        <w:tblStyle w:val="8"/>
        <w:tblW w:w="8504" w:type="dxa"/>
        <w:jc w:val="center"/>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7"/>
        <w:gridCol w:w="4440"/>
        <w:gridCol w:w="960"/>
        <w:gridCol w:w="900"/>
        <w:gridCol w:w="15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697"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序号</w:t>
            </w:r>
          </w:p>
        </w:tc>
        <w:tc>
          <w:tcPr>
            <w:tcW w:w="4440"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指  标</w:t>
            </w:r>
          </w:p>
        </w:tc>
        <w:tc>
          <w:tcPr>
            <w:tcW w:w="960"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2016</w:t>
            </w:r>
          </w:p>
        </w:tc>
        <w:tc>
          <w:tcPr>
            <w:tcW w:w="900"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2017</w:t>
            </w:r>
          </w:p>
        </w:tc>
        <w:tc>
          <w:tcPr>
            <w:tcW w:w="1507"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增长率（%）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697"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1</w:t>
            </w:r>
          </w:p>
        </w:tc>
        <w:tc>
          <w:tcPr>
            <w:tcW w:w="444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师生比</w:t>
            </w:r>
          </w:p>
        </w:tc>
        <w:tc>
          <w:tcPr>
            <w:tcW w:w="96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11.37</w:t>
            </w:r>
          </w:p>
        </w:tc>
        <w:tc>
          <w:tcPr>
            <w:tcW w:w="90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12.59</w:t>
            </w:r>
          </w:p>
        </w:tc>
        <w:tc>
          <w:tcPr>
            <w:tcW w:w="1507"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10.73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697"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2</w:t>
            </w:r>
          </w:p>
        </w:tc>
        <w:tc>
          <w:tcPr>
            <w:tcW w:w="444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 xml:space="preserve">   双师型教师比例（%）</w:t>
            </w:r>
          </w:p>
        </w:tc>
        <w:tc>
          <w:tcPr>
            <w:tcW w:w="96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35.74</w:t>
            </w:r>
          </w:p>
        </w:tc>
        <w:tc>
          <w:tcPr>
            <w:tcW w:w="90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32.67</w:t>
            </w:r>
          </w:p>
        </w:tc>
        <w:tc>
          <w:tcPr>
            <w:tcW w:w="1507"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w:t>
            </w:r>
            <w:r>
              <w:rPr>
                <w:rFonts w:hint="eastAsia" w:ascii="Times New Roman" w:hAnsi="Times New Roman" w:eastAsia="仿宋_GB2312"/>
                <w:lang w:val="en-US" w:eastAsia="zh-CN"/>
              </w:rPr>
              <w:t>3.07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697"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3</w:t>
            </w:r>
          </w:p>
        </w:tc>
        <w:tc>
          <w:tcPr>
            <w:tcW w:w="444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 xml:space="preserve"> 兼职教师比例（%）</w:t>
            </w:r>
          </w:p>
        </w:tc>
        <w:tc>
          <w:tcPr>
            <w:tcW w:w="96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22.49</w:t>
            </w:r>
          </w:p>
        </w:tc>
        <w:tc>
          <w:tcPr>
            <w:tcW w:w="90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24.06</w:t>
            </w:r>
          </w:p>
        </w:tc>
        <w:tc>
          <w:tcPr>
            <w:tcW w:w="1507" w:type="dxa"/>
            <w:tcBorders>
              <w:tl2br w:val="nil"/>
              <w:tr2bl w:val="nil"/>
            </w:tcBorders>
            <w:shd w:val="clear" w:color="auto" w:fill="FFFFFF"/>
            <w:vAlign w:val="center"/>
          </w:tcPr>
          <w:p>
            <w:pPr>
              <w:jc w:val="center"/>
              <w:rPr>
                <w:rFonts w:hint="eastAsia" w:ascii="Times New Roman" w:hAnsi="Times New Roman" w:eastAsia="仿宋_GB2312"/>
                <w:lang w:val="en-US" w:eastAsia="zh-CN"/>
              </w:rPr>
            </w:pPr>
            <w:r>
              <w:rPr>
                <w:rFonts w:hint="eastAsia" w:ascii="Times New Roman" w:hAnsi="Times New Roman" w:eastAsia="仿宋_GB2312"/>
                <w:lang w:val="en-US" w:eastAsia="zh-CN"/>
              </w:rPr>
              <w:t>1.57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697" w:type="dxa"/>
            <w:tcBorders>
              <w:tl2br w:val="nil"/>
              <w:tr2bl w:val="nil"/>
            </w:tcBorders>
            <w:shd w:val="clear" w:color="auto" w:fill="FFFFFF"/>
            <w:vAlign w:val="center"/>
          </w:tcPr>
          <w:p>
            <w:pPr>
              <w:jc w:val="center"/>
              <w:rPr>
                <w:rFonts w:ascii="Times New Roman" w:hAnsi="Times New Roman" w:eastAsia="仿宋_GB2312"/>
              </w:rPr>
            </w:pPr>
            <w:r>
              <w:rPr>
                <w:rFonts w:hint="eastAsia" w:ascii="仿宋_GB2312" w:hAnsi="仿宋_GB2312" w:eastAsia="仿宋_GB2312" w:cs="仿宋_GB2312"/>
                <w:bCs/>
              </w:rPr>
              <w:t>4</w:t>
            </w:r>
          </w:p>
        </w:tc>
        <w:tc>
          <w:tcPr>
            <w:tcW w:w="4440" w:type="dxa"/>
            <w:tcBorders>
              <w:tl2br w:val="nil"/>
              <w:tr2bl w:val="nil"/>
            </w:tcBorders>
            <w:shd w:val="clear" w:color="auto" w:fill="FFFFFF"/>
            <w:vAlign w:val="center"/>
          </w:tcPr>
          <w:p>
            <w:pPr>
              <w:jc w:val="center"/>
              <w:rPr>
                <w:rFonts w:ascii="Times New Roman" w:hAnsi="Times New Roman" w:eastAsia="仿宋_GB2312"/>
              </w:rPr>
            </w:pPr>
            <w:r>
              <w:rPr>
                <w:rFonts w:hint="eastAsia" w:ascii="仿宋_GB2312" w:hAnsi="仿宋_GB2312" w:eastAsia="仿宋_GB2312" w:cs="仿宋_GB2312"/>
                <w:bCs/>
              </w:rPr>
              <w:t>专任教师副教授及以上专业技术职务比例（%）</w:t>
            </w:r>
          </w:p>
        </w:tc>
        <w:tc>
          <w:tcPr>
            <w:tcW w:w="96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17.98</w:t>
            </w:r>
          </w:p>
        </w:tc>
        <w:tc>
          <w:tcPr>
            <w:tcW w:w="90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16.83</w:t>
            </w:r>
          </w:p>
        </w:tc>
        <w:tc>
          <w:tcPr>
            <w:tcW w:w="1507"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w:t>
            </w:r>
            <w:r>
              <w:rPr>
                <w:rFonts w:hint="eastAsia" w:ascii="Times New Roman" w:hAnsi="Times New Roman" w:eastAsia="仿宋_GB2312"/>
                <w:lang w:val="en-US" w:eastAsia="zh-CN"/>
              </w:rPr>
              <w:t>1.15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697" w:type="dxa"/>
            <w:tcBorders>
              <w:tl2br w:val="nil"/>
              <w:tr2bl w:val="nil"/>
            </w:tcBorders>
            <w:shd w:val="clear" w:color="auto" w:fill="FFFFFF"/>
            <w:vAlign w:val="center"/>
          </w:tcPr>
          <w:p>
            <w:pPr>
              <w:jc w:val="center"/>
              <w:rPr>
                <w:rFonts w:ascii="Times New Roman" w:hAnsi="Times New Roman" w:eastAsia="仿宋_GB2312"/>
              </w:rPr>
            </w:pPr>
            <w:r>
              <w:rPr>
                <w:rFonts w:hint="eastAsia" w:ascii="仿宋_GB2312" w:hAnsi="仿宋_GB2312" w:eastAsia="仿宋_GB2312" w:cs="仿宋_GB2312"/>
                <w:bCs/>
              </w:rPr>
              <w:t>5</w:t>
            </w:r>
          </w:p>
        </w:tc>
        <w:tc>
          <w:tcPr>
            <w:tcW w:w="4440" w:type="dxa"/>
            <w:tcBorders>
              <w:tl2br w:val="nil"/>
              <w:tr2bl w:val="nil"/>
            </w:tcBorders>
            <w:shd w:val="clear" w:color="auto" w:fill="FFFFFF"/>
            <w:vAlign w:val="center"/>
          </w:tcPr>
          <w:p>
            <w:pPr>
              <w:jc w:val="center"/>
              <w:rPr>
                <w:rFonts w:ascii="Times New Roman" w:hAnsi="Times New Roman" w:eastAsia="仿宋_GB2312"/>
              </w:rPr>
            </w:pPr>
            <w:r>
              <w:rPr>
                <w:rFonts w:hint="eastAsia" w:ascii="仿宋_GB2312" w:hAnsi="仿宋_GB2312" w:eastAsia="仿宋_GB2312" w:cs="仿宋_GB2312"/>
                <w:bCs/>
              </w:rPr>
              <w:t>专任教师硕士以上学历比例</w:t>
            </w:r>
            <w:r>
              <w:rPr>
                <w:rFonts w:hint="eastAsia" w:ascii="Times New Roman" w:hAnsi="Times New Roman" w:eastAsia="仿宋_GB2312"/>
              </w:rPr>
              <w:t>（%）</w:t>
            </w:r>
          </w:p>
        </w:tc>
        <w:tc>
          <w:tcPr>
            <w:tcW w:w="96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23.03</w:t>
            </w:r>
          </w:p>
        </w:tc>
        <w:tc>
          <w:tcPr>
            <w:tcW w:w="90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23.76</w:t>
            </w:r>
          </w:p>
        </w:tc>
        <w:tc>
          <w:tcPr>
            <w:tcW w:w="1507" w:type="dxa"/>
            <w:tcBorders>
              <w:tl2br w:val="nil"/>
              <w:tr2bl w:val="nil"/>
            </w:tcBorders>
            <w:shd w:val="clear" w:color="auto" w:fill="FFFFFF"/>
            <w:vAlign w:val="center"/>
          </w:tcPr>
          <w:p>
            <w:pPr>
              <w:jc w:val="center"/>
              <w:rPr>
                <w:rFonts w:hint="eastAsia" w:ascii="Times New Roman" w:hAnsi="Times New Roman" w:eastAsia="仿宋_GB2312"/>
                <w:lang w:val="en-US" w:eastAsia="zh-CN"/>
              </w:rPr>
            </w:pPr>
            <w:r>
              <w:rPr>
                <w:rFonts w:hint="eastAsia" w:ascii="Times New Roman" w:hAnsi="Times New Roman" w:eastAsia="仿宋_GB2312"/>
                <w:lang w:val="en-US" w:eastAsia="zh-CN"/>
              </w:rPr>
              <w:t>0.73</w:t>
            </w:r>
          </w:p>
        </w:tc>
      </w:tr>
    </w:tbl>
    <w:p>
      <w:pPr>
        <w:spacing w:line="360" w:lineRule="auto"/>
        <w:jc w:val="center"/>
        <w:rPr>
          <w:rFonts w:ascii="仿宋_GB2312" w:eastAsia="仿宋_GB2312"/>
          <w:color w:val="0000FF"/>
          <w:sz w:val="32"/>
          <w:szCs w:val="32"/>
        </w:rPr>
      </w:pPr>
      <w:r>
        <w:rPr>
          <w:rFonts w:hint="eastAsia" w:ascii="楷体" w:hAnsi="楷体" w:eastAsia="楷体" w:cs="楷体"/>
        </w:rPr>
        <w:t>数据来源：学院人才培养工作状态数据平台</w:t>
      </w:r>
    </w:p>
    <w:p>
      <w:pPr>
        <w:spacing w:line="520" w:lineRule="exact"/>
        <w:rPr>
          <w:rFonts w:ascii="仿宋_GB2312" w:hAnsi="宋体" w:eastAsia="仿宋_GB2312" w:cs="宋体"/>
          <w:sz w:val="28"/>
          <w:szCs w:val="28"/>
        </w:rPr>
      </w:pPr>
      <w:bookmarkStart w:id="42" w:name="_Toc15883"/>
      <w:bookmarkStart w:id="43" w:name="_Toc15782"/>
      <w:bookmarkStart w:id="44" w:name="_Toc6179"/>
      <w:bookmarkStart w:id="45" w:name="_Toc26818"/>
      <w:bookmarkStart w:id="46" w:name="_Toc16390"/>
      <w:bookmarkStart w:id="47" w:name="_Toc20866"/>
      <w:bookmarkStart w:id="48" w:name="_Toc29866"/>
      <w:r>
        <w:rPr>
          <w:rFonts w:hint="eastAsia" w:ascii="仿宋_GB2312" w:hAnsi="仿宋_GB2312" w:eastAsia="仿宋_GB2312" w:cs="仿宋_GB2312"/>
          <w:b/>
          <w:bCs/>
          <w:sz w:val="28"/>
          <w:szCs w:val="28"/>
        </w:rPr>
        <w:t>1.4设施设备</w:t>
      </w:r>
      <w:bookmarkEnd w:id="42"/>
      <w:bookmarkEnd w:id="43"/>
      <w:bookmarkEnd w:id="44"/>
      <w:bookmarkEnd w:id="45"/>
      <w:bookmarkEnd w:id="46"/>
      <w:bookmarkEnd w:id="47"/>
      <w:bookmarkEnd w:id="48"/>
    </w:p>
    <w:p>
      <w:pPr>
        <w:spacing w:line="52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2016年学院有学生公寓1</w:t>
      </w:r>
      <w:r>
        <w:rPr>
          <w:rFonts w:hint="eastAsia" w:ascii="仿宋_GB2312" w:hAnsi="宋体" w:eastAsia="仿宋_GB2312" w:cs="宋体"/>
          <w:sz w:val="28"/>
          <w:szCs w:val="28"/>
          <w:lang w:val="en-US" w:eastAsia="zh-CN"/>
        </w:rPr>
        <w:t>1</w:t>
      </w:r>
      <w:r>
        <w:rPr>
          <w:rFonts w:hint="eastAsia" w:ascii="仿宋_GB2312" w:hAnsi="宋体" w:eastAsia="仿宋_GB2312" w:cs="宋体"/>
          <w:sz w:val="28"/>
          <w:szCs w:val="28"/>
        </w:rPr>
        <w:t>栋，教学楼4栋，图书馆1栋，学生及教工食堂2个，全新的综合实训楼、文体馆和标准化田径运动场各1个。2017年新增电梯实训中心、汽车实训中心、工业机器人实训中心各</w:t>
      </w:r>
      <w:r>
        <w:rPr>
          <w:rFonts w:ascii="仿宋_GB2312" w:hAnsi="宋体" w:eastAsia="仿宋_GB2312" w:cs="宋体"/>
          <w:sz w:val="28"/>
          <w:szCs w:val="28"/>
        </w:rPr>
        <w:t>1</w:t>
      </w:r>
      <w:r>
        <w:rPr>
          <w:rFonts w:hint="eastAsia" w:ascii="仿宋_GB2312" w:hAnsi="宋体" w:eastAsia="仿宋_GB2312" w:cs="宋体"/>
          <w:sz w:val="28"/>
          <w:szCs w:val="28"/>
        </w:rPr>
        <w:t>栋；新增学生公寓2栋。</w:t>
      </w:r>
    </w:p>
    <w:p>
      <w:pPr>
        <w:spacing w:line="520" w:lineRule="exact"/>
        <w:ind w:firstLine="560" w:firstLineChars="200"/>
        <w:rPr>
          <w:rFonts w:ascii="仿宋_GB2312" w:hAnsi="宋体" w:eastAsia="仿宋_GB2312" w:cs="宋体"/>
          <w:sz w:val="28"/>
          <w:szCs w:val="28"/>
        </w:rPr>
      </w:pPr>
    </w:p>
    <w:p>
      <w:pPr>
        <w:jc w:val="center"/>
        <w:rPr>
          <w:rFonts w:ascii="仿宋_GB2312" w:hAnsi="宋体" w:eastAsia="仿宋_GB2312" w:cs="宋体"/>
          <w:sz w:val="28"/>
          <w:szCs w:val="28"/>
        </w:rPr>
      </w:pPr>
      <w:r>
        <w:rPr>
          <w:rFonts w:hint="eastAsia" w:ascii="楷体" w:hAnsi="楷体" w:eastAsia="楷体"/>
          <w:sz w:val="30"/>
          <w:szCs w:val="30"/>
        </w:rPr>
        <w:drawing>
          <wp:inline distT="0" distB="0" distL="114300" distR="114300">
            <wp:extent cx="4106545" cy="3080385"/>
            <wp:effectExtent l="0" t="0" r="8255" b="5715"/>
            <wp:docPr id="38" name="图片 38" descr="IMG_20171023_10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0171023_101103"/>
                    <pic:cNvPicPr>
                      <a:picLocks noChangeAspect="1"/>
                    </pic:cNvPicPr>
                  </pic:nvPicPr>
                  <pic:blipFill>
                    <a:blip r:embed="rId13" cstate="print"/>
                    <a:stretch>
                      <a:fillRect/>
                    </a:stretch>
                  </pic:blipFill>
                  <pic:spPr>
                    <a:xfrm>
                      <a:off x="0" y="0"/>
                      <a:ext cx="4106545" cy="3080385"/>
                    </a:xfrm>
                    <a:prstGeom prst="rect">
                      <a:avLst/>
                    </a:prstGeom>
                  </pic:spPr>
                </pic:pic>
              </a:graphicData>
            </a:graphic>
          </wp:inline>
        </w:drawing>
      </w:r>
    </w:p>
    <w:p>
      <w:pPr>
        <w:spacing w:line="520" w:lineRule="exact"/>
        <w:ind w:firstLine="420" w:firstLineChars="200"/>
        <w:jc w:val="center"/>
        <w:rPr>
          <w:rFonts w:ascii="仿宋_GB2312" w:hAnsi="宋体" w:eastAsia="仿宋_GB2312" w:cs="宋体"/>
          <w:sz w:val="28"/>
          <w:szCs w:val="28"/>
        </w:rPr>
      </w:pPr>
      <w:r>
        <w:rPr>
          <w:rFonts w:hint="eastAsia" w:ascii="楷体" w:hAnsi="楷体" w:eastAsia="楷体" w:cs="楷体"/>
        </w:rPr>
        <w:t>图为学院新增的“中瑞合作电梯实训基地”</w:t>
      </w:r>
    </w:p>
    <w:p>
      <w:pPr>
        <w:spacing w:line="52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学院教学设备及配套设施齐全。现有网络多媒体课室120间，各类教学用计算机1239台，实习实训工位3133个，能满足学生在校实践性教学需要（见表1-4）。学院所有宿舍均为四人标准间，室内卫生、洗浴及家具等配套齐全。</w:t>
      </w:r>
    </w:p>
    <w:p>
      <w:pPr>
        <w:spacing w:line="360" w:lineRule="auto"/>
        <w:jc w:val="center"/>
        <w:rPr>
          <w:rFonts w:ascii="仿宋_GB2312" w:hAnsi="宋体" w:eastAsia="仿宋_GB2312" w:cs="宋体"/>
          <w:color w:val="0000FF"/>
          <w:sz w:val="32"/>
          <w:szCs w:val="32"/>
        </w:rPr>
      </w:pPr>
      <w:r>
        <w:rPr>
          <w:rFonts w:hint="eastAsia" w:ascii="仿宋_GB2312" w:hAnsi="仿宋" w:eastAsia="仿宋_GB2312"/>
          <w:b/>
          <w:bCs/>
          <w:sz w:val="24"/>
          <w:szCs w:val="24"/>
        </w:rPr>
        <w:t>表</w:t>
      </w:r>
      <w:r>
        <w:rPr>
          <w:rFonts w:hint="eastAsia" w:ascii="Times New Roman" w:hAnsi="Times New Roman" w:eastAsia="仿宋_GB2312"/>
          <w:b/>
          <w:bCs/>
          <w:sz w:val="24"/>
          <w:szCs w:val="24"/>
        </w:rPr>
        <w:t xml:space="preserve">1-4 </w:t>
      </w:r>
      <w:r>
        <w:rPr>
          <w:rFonts w:hint="eastAsia" w:ascii="仿宋_GB2312" w:hAnsi="仿宋" w:eastAsia="仿宋_GB2312"/>
          <w:b/>
          <w:bCs/>
          <w:sz w:val="24"/>
          <w:szCs w:val="24"/>
        </w:rPr>
        <w:t xml:space="preserve"> 教学设施设备情况表</w:t>
      </w:r>
    </w:p>
    <w:tbl>
      <w:tblPr>
        <w:tblStyle w:val="8"/>
        <w:tblW w:w="8501" w:type="dxa"/>
        <w:jc w:val="center"/>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1"/>
        <w:gridCol w:w="3945"/>
        <w:gridCol w:w="1335"/>
        <w:gridCol w:w="1080"/>
        <w:gridCol w:w="13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71"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序号</w:t>
            </w:r>
          </w:p>
        </w:tc>
        <w:tc>
          <w:tcPr>
            <w:tcW w:w="3945"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指  标</w:t>
            </w:r>
          </w:p>
        </w:tc>
        <w:tc>
          <w:tcPr>
            <w:tcW w:w="1335"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2016</w:t>
            </w:r>
          </w:p>
        </w:tc>
        <w:tc>
          <w:tcPr>
            <w:tcW w:w="1080"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2017</w:t>
            </w:r>
          </w:p>
        </w:tc>
        <w:tc>
          <w:tcPr>
            <w:tcW w:w="1370"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增长率（%）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771" w:type="dxa"/>
            <w:tcBorders>
              <w:tl2br w:val="nil"/>
              <w:tr2bl w:val="nil"/>
            </w:tcBorders>
            <w:shd w:val="clear" w:color="auto" w:fill="FFFFFF"/>
            <w:vAlign w:val="center"/>
          </w:tcPr>
          <w:p>
            <w:pPr>
              <w:jc w:val="center"/>
              <w:rPr>
                <w:rFonts w:ascii="仿宋_GB2312" w:hAnsi="仿宋_GB2312" w:eastAsia="仿宋_GB2312" w:cs="仿宋_GB2312"/>
                <w:bCs/>
              </w:rPr>
            </w:pPr>
            <w:r>
              <w:rPr>
                <w:rFonts w:hint="eastAsia" w:ascii="仿宋_GB2312" w:hAnsi="仿宋_GB2312" w:eastAsia="仿宋_GB2312" w:cs="仿宋_GB2312"/>
                <w:bCs/>
              </w:rPr>
              <w:t>1</w:t>
            </w:r>
          </w:p>
        </w:tc>
        <w:tc>
          <w:tcPr>
            <w:tcW w:w="3945" w:type="dxa"/>
            <w:tcBorders>
              <w:tl2br w:val="nil"/>
              <w:tr2bl w:val="nil"/>
            </w:tcBorders>
            <w:shd w:val="clear" w:color="auto" w:fill="FFFFFF"/>
            <w:vAlign w:val="center"/>
          </w:tcPr>
          <w:p>
            <w:pPr>
              <w:jc w:val="center"/>
              <w:rPr>
                <w:rFonts w:ascii="Times New Roman" w:hAnsi="Times New Roman" w:eastAsia="仿宋_GB2312"/>
              </w:rPr>
            </w:pPr>
            <w:r>
              <w:rPr>
                <w:rFonts w:hint="eastAsia" w:ascii="仿宋_GB2312" w:hAnsi="仿宋_GB2312" w:eastAsia="仿宋_GB2312" w:cs="仿宋_GB2312"/>
                <w:bCs/>
              </w:rPr>
              <w:t>生均教学仪器设备值(元/生）</w:t>
            </w:r>
          </w:p>
        </w:tc>
        <w:tc>
          <w:tcPr>
            <w:tcW w:w="1335"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7050.09</w:t>
            </w:r>
          </w:p>
        </w:tc>
        <w:tc>
          <w:tcPr>
            <w:tcW w:w="108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8087.39</w:t>
            </w:r>
          </w:p>
        </w:tc>
        <w:tc>
          <w:tcPr>
            <w:tcW w:w="137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14.71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771"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2</w:t>
            </w:r>
          </w:p>
        </w:tc>
        <w:tc>
          <w:tcPr>
            <w:tcW w:w="3945"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 xml:space="preserve">   </w:t>
            </w:r>
            <w:r>
              <w:rPr>
                <w:rFonts w:hint="eastAsia" w:ascii="仿宋_GB2312" w:hAnsi="仿宋_GB2312" w:eastAsia="仿宋_GB2312" w:cs="仿宋_GB2312"/>
                <w:bCs/>
              </w:rPr>
              <w:t>生均实训实习工位数（个/生）</w:t>
            </w:r>
          </w:p>
        </w:tc>
        <w:tc>
          <w:tcPr>
            <w:tcW w:w="1335"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0.87</w:t>
            </w:r>
          </w:p>
        </w:tc>
        <w:tc>
          <w:tcPr>
            <w:tcW w:w="108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0.88</w:t>
            </w:r>
          </w:p>
        </w:tc>
        <w:tc>
          <w:tcPr>
            <w:tcW w:w="137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1.15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771"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3</w:t>
            </w:r>
          </w:p>
        </w:tc>
        <w:tc>
          <w:tcPr>
            <w:tcW w:w="3945" w:type="dxa"/>
            <w:tcBorders>
              <w:tl2br w:val="nil"/>
              <w:tr2bl w:val="nil"/>
            </w:tcBorders>
            <w:shd w:val="clear" w:color="auto" w:fill="FFFFFF"/>
            <w:vAlign w:val="center"/>
          </w:tcPr>
          <w:p>
            <w:pPr>
              <w:overflowPunct w:val="0"/>
              <w:jc w:val="center"/>
              <w:rPr>
                <w:rFonts w:ascii="Times New Roman" w:hAnsi="Times New Roman" w:eastAsia="仿宋_GB2312"/>
              </w:rPr>
            </w:pPr>
            <w:r>
              <w:rPr>
                <w:rFonts w:hint="eastAsia" w:ascii="仿宋_GB2312" w:hAnsi="仿宋_GB2312" w:eastAsia="仿宋_GB2312" w:cs="仿宋_GB2312"/>
                <w:bCs/>
              </w:rPr>
              <w:t>生均图书（册/生）</w:t>
            </w:r>
          </w:p>
        </w:tc>
        <w:tc>
          <w:tcPr>
            <w:tcW w:w="1335"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92.8</w:t>
            </w:r>
          </w:p>
        </w:tc>
        <w:tc>
          <w:tcPr>
            <w:tcW w:w="108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90.80</w:t>
            </w:r>
          </w:p>
        </w:tc>
        <w:tc>
          <w:tcPr>
            <w:tcW w:w="137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-2.20</w:t>
            </w:r>
          </w:p>
        </w:tc>
      </w:tr>
    </w:tbl>
    <w:p>
      <w:pPr>
        <w:jc w:val="center"/>
        <w:rPr>
          <w:rFonts w:ascii="仿宋_GB2312" w:hAnsi="宋体" w:eastAsia="仿宋_GB2312" w:cs="宋体"/>
          <w:color w:val="0000FF"/>
          <w:sz w:val="32"/>
          <w:szCs w:val="32"/>
        </w:rPr>
      </w:pPr>
      <w:r>
        <w:rPr>
          <w:rFonts w:hint="eastAsia" w:ascii="楷体" w:hAnsi="楷体" w:eastAsia="楷体" w:cs="楷体"/>
        </w:rPr>
        <w:t>数据来源：学院人才培养工作状态数据平台</w:t>
      </w: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bookmarkStart w:id="49" w:name="_Toc28890"/>
      <w:bookmarkStart w:id="50" w:name="_Toc709"/>
      <w:bookmarkStart w:id="51" w:name="_Toc10016"/>
    </w:p>
    <w:p>
      <w:pPr>
        <w:rPr>
          <w:rFonts w:hint="eastAsia" w:ascii="黑体" w:hAnsi="黑体" w:eastAsia="黑体" w:cs="黑体"/>
          <w:sz w:val="32"/>
          <w:szCs w:val="32"/>
        </w:rPr>
      </w:pPr>
      <w:bookmarkStart w:id="52" w:name="_Toc14943"/>
      <w:bookmarkStart w:id="53" w:name="_Toc21010"/>
    </w:p>
    <w:p>
      <w:pPr>
        <w:rPr>
          <w:rFonts w:ascii="仿宋_GB2312" w:hAnsi="仿宋_GB2312" w:eastAsia="仿宋_GB2312" w:cs="仿宋_GB2312"/>
          <w:sz w:val="32"/>
          <w:szCs w:val="32"/>
        </w:rPr>
      </w:pPr>
      <w:bookmarkStart w:id="54" w:name="_Toc1401"/>
      <w:bookmarkStart w:id="55" w:name="_Toc11727"/>
      <w:r>
        <w:rPr>
          <w:rFonts w:hint="eastAsia" w:ascii="黑体" w:hAnsi="黑体" w:eastAsia="黑体" w:cs="黑体"/>
          <w:sz w:val="32"/>
          <w:szCs w:val="32"/>
        </w:rPr>
        <w:t>2.学生发展</w:t>
      </w:r>
      <w:bookmarkEnd w:id="49"/>
      <w:bookmarkEnd w:id="50"/>
      <w:bookmarkEnd w:id="51"/>
      <w:bookmarkEnd w:id="52"/>
      <w:bookmarkEnd w:id="53"/>
      <w:bookmarkEnd w:id="54"/>
      <w:bookmarkEnd w:id="55"/>
    </w:p>
    <w:p>
      <w:pPr>
        <w:rPr>
          <w:rFonts w:ascii="仿宋_GB2312" w:hAnsi="仿宋_GB2312" w:eastAsia="仿宋_GB2312" w:cs="仿宋_GB2312"/>
          <w:b/>
          <w:bCs/>
          <w:sz w:val="28"/>
          <w:szCs w:val="28"/>
        </w:rPr>
      </w:pPr>
      <w:bookmarkStart w:id="56" w:name="_Toc26600"/>
      <w:bookmarkStart w:id="57" w:name="_Toc15399"/>
      <w:bookmarkStart w:id="58" w:name="_Toc20250"/>
      <w:bookmarkStart w:id="59" w:name="_Toc22654"/>
      <w:bookmarkStart w:id="60" w:name="_Toc15362"/>
      <w:bookmarkStart w:id="61" w:name="_Toc632"/>
      <w:bookmarkStart w:id="62" w:name="_Toc12254"/>
      <w:r>
        <w:rPr>
          <w:rFonts w:hint="eastAsia" w:ascii="仿宋_GB2312" w:hAnsi="仿宋_GB2312" w:eastAsia="仿宋_GB2312" w:cs="仿宋_GB2312"/>
          <w:b/>
          <w:bCs/>
          <w:sz w:val="28"/>
          <w:szCs w:val="28"/>
        </w:rPr>
        <w:t>2.1就业质量</w:t>
      </w:r>
      <w:bookmarkEnd w:id="56"/>
      <w:bookmarkEnd w:id="57"/>
      <w:bookmarkEnd w:id="58"/>
      <w:bookmarkEnd w:id="59"/>
      <w:bookmarkEnd w:id="60"/>
      <w:bookmarkEnd w:id="61"/>
      <w:bookmarkEnd w:id="62"/>
    </w:p>
    <w:p>
      <w:pPr>
        <w:spacing w:line="560" w:lineRule="exact"/>
        <w:ind w:firstLine="562" w:firstLineChars="200"/>
        <w:rPr>
          <w:rFonts w:ascii="仿宋_GB2312" w:eastAsia="仿宋_GB2312"/>
          <w:b/>
          <w:bCs/>
          <w:sz w:val="28"/>
          <w:szCs w:val="28"/>
        </w:rPr>
      </w:pPr>
      <w:r>
        <w:rPr>
          <w:rFonts w:hint="eastAsia" w:ascii="仿宋_GB2312" w:eastAsia="仿宋_GB2312"/>
          <w:b/>
          <w:bCs/>
          <w:sz w:val="28"/>
          <w:szCs w:val="28"/>
        </w:rPr>
        <w:t>（1）毕业生就业率总体平稳</w:t>
      </w:r>
    </w:p>
    <w:p>
      <w:pPr>
        <w:spacing w:line="560" w:lineRule="exact"/>
        <w:ind w:firstLine="560" w:firstLineChars="200"/>
        <w:rPr>
          <w:rFonts w:ascii="仿宋_GB2312" w:eastAsia="仿宋_GB2312"/>
          <w:color w:val="0000FF"/>
          <w:sz w:val="24"/>
          <w:szCs w:val="24"/>
        </w:rPr>
      </w:pPr>
      <w:r>
        <w:rPr>
          <w:rFonts w:hint="eastAsia" w:ascii="仿宋_GB2312" w:eastAsia="仿宋_GB2312"/>
          <w:sz w:val="28"/>
          <w:szCs w:val="28"/>
        </w:rPr>
        <w:t>学院实行学生就业“一把手工程”，形成了“上下联动、齐抓共管、全员参与”的毕业生就业工作机制。学院不断拓展就业渠道，2017年新建10多家实习就业基地；实施就业指导课程教学、日常指导和网上在线指导“三位一体”的就业指导方式，聘请就业专家开展就业专题讲座，提高学生就业能力；举办校内“供需见面，双向选择”就业招聘会，为学生就业搭建便捷就业平台。通过上述措施，毕业生就业率总体平稳（见图2—1）。</w:t>
      </w:r>
    </w:p>
    <w:p>
      <w:pPr>
        <w:spacing w:line="560" w:lineRule="exact"/>
        <w:jc w:val="center"/>
      </w:pPr>
      <w:r>
        <w:rPr>
          <w:rFonts w:hint="eastAsia" w:ascii="仿宋_GB2312" w:eastAsia="仿宋_GB2312"/>
          <w:b/>
          <w:bCs/>
          <w:sz w:val="24"/>
          <w:szCs w:val="24"/>
        </w:rPr>
        <w:t>图</w:t>
      </w:r>
      <w:r>
        <w:rPr>
          <w:rFonts w:hint="eastAsia" w:ascii="Times New Roman" w:hAnsi="Times New Roman" w:eastAsia="仿宋_GB2312"/>
          <w:b/>
          <w:bCs/>
          <w:sz w:val="24"/>
          <w:szCs w:val="24"/>
        </w:rPr>
        <w:t>2-1</w:t>
      </w:r>
      <w:r>
        <w:rPr>
          <w:rFonts w:hint="eastAsia" w:ascii="Times New Roman" w:hAnsi="Times New Roman" w:eastAsia="仿宋_GB2312"/>
          <w:b/>
          <w:bCs/>
          <w:sz w:val="24"/>
          <w:szCs w:val="24"/>
          <w:lang w:val="en-US" w:eastAsia="zh-CN"/>
        </w:rPr>
        <w:t xml:space="preserve">  </w:t>
      </w:r>
      <w:r>
        <w:rPr>
          <w:rFonts w:hint="eastAsia" w:ascii="Times New Roman" w:hAnsi="Times New Roman" w:eastAsia="仿宋_GB2312"/>
          <w:b/>
          <w:bCs/>
          <w:sz w:val="24"/>
          <w:szCs w:val="24"/>
        </w:rPr>
        <w:t xml:space="preserve"> 2013—2017</w:t>
      </w:r>
      <w:r>
        <w:rPr>
          <w:rFonts w:hint="eastAsia" w:ascii="仿宋_GB2312" w:eastAsia="仿宋_GB2312"/>
          <w:b/>
          <w:bCs/>
          <w:sz w:val="24"/>
          <w:szCs w:val="24"/>
        </w:rPr>
        <w:t>年毕业生就业率</w:t>
      </w:r>
    </w:p>
    <w:p>
      <w:pPr>
        <w:jc w:val="center"/>
        <w:rPr>
          <w:rFonts w:ascii="仿宋_GB2312" w:eastAsia="仿宋_GB2312"/>
          <w:sz w:val="32"/>
          <w:szCs w:val="32"/>
        </w:rPr>
      </w:pPr>
      <w:r>
        <w:drawing>
          <wp:inline distT="0" distB="0" distL="114300" distR="114300">
            <wp:extent cx="4572000" cy="2743200"/>
            <wp:effectExtent l="4445" t="4445" r="14605" b="14605"/>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spacing w:line="560" w:lineRule="exact"/>
        <w:ind w:firstLine="420" w:firstLineChars="200"/>
        <w:jc w:val="center"/>
        <w:rPr>
          <w:rFonts w:ascii="楷体" w:hAnsi="楷体" w:eastAsia="楷体" w:cs="楷体"/>
        </w:rPr>
      </w:pPr>
      <w:r>
        <w:rPr>
          <w:rFonts w:hint="eastAsia" w:ascii="楷体" w:hAnsi="楷体" w:eastAsia="楷体" w:cs="楷体"/>
        </w:rPr>
        <w:t>数据来源：学院招生就业处</w:t>
      </w:r>
    </w:p>
    <w:p>
      <w:pPr>
        <w:spacing w:line="520" w:lineRule="exact"/>
        <w:ind w:firstLine="560" w:firstLineChars="200"/>
        <w:rPr>
          <w:rFonts w:ascii="仿宋_GB2312" w:eastAsia="仿宋_GB2312"/>
          <w:sz w:val="32"/>
          <w:szCs w:val="32"/>
        </w:rPr>
      </w:pPr>
      <w:r>
        <w:rPr>
          <w:rFonts w:hint="eastAsia" w:ascii="仿宋_GB2312" w:eastAsia="仿宋_GB2312"/>
          <w:sz w:val="28"/>
          <w:szCs w:val="28"/>
        </w:rPr>
        <w:t>就业率排名靠前的专业有我院重点建设的先进装备制造类</w:t>
      </w:r>
      <w:r>
        <w:rPr>
          <w:rFonts w:hint="eastAsia" w:ascii="仿宋_GB2312" w:eastAsia="仿宋_GB2312"/>
          <w:sz w:val="28"/>
          <w:szCs w:val="28"/>
          <w:lang w:eastAsia="zh-CN"/>
        </w:rPr>
        <w:t>、信息技术类</w:t>
      </w:r>
      <w:r>
        <w:rPr>
          <w:rFonts w:hint="eastAsia" w:ascii="仿宋_GB2312" w:eastAsia="仿宋_GB2312"/>
          <w:sz w:val="28"/>
          <w:szCs w:val="28"/>
        </w:rPr>
        <w:t>专业，</w:t>
      </w:r>
      <w:r>
        <w:rPr>
          <w:rFonts w:hint="eastAsia" w:ascii="仿宋_GB2312" w:eastAsia="仿宋_GB2312"/>
          <w:sz w:val="28"/>
          <w:szCs w:val="28"/>
          <w:lang w:eastAsia="zh-CN"/>
        </w:rPr>
        <w:t>其中</w:t>
      </w:r>
      <w:r>
        <w:rPr>
          <w:rFonts w:hint="eastAsia" w:ascii="仿宋_GB2312" w:eastAsia="仿宋_GB2312"/>
          <w:sz w:val="28"/>
          <w:szCs w:val="28"/>
        </w:rPr>
        <w:t>汽车检测与维修</w:t>
      </w:r>
      <w:r>
        <w:rPr>
          <w:rFonts w:hint="eastAsia" w:ascii="仿宋_GB2312" w:eastAsia="仿宋_GB2312"/>
          <w:sz w:val="28"/>
          <w:szCs w:val="28"/>
          <w:lang w:eastAsia="zh-CN"/>
        </w:rPr>
        <w:t>、模具设计与制造、电子商务等专业</w:t>
      </w:r>
      <w:r>
        <w:rPr>
          <w:rFonts w:hint="eastAsia" w:ascii="仿宋_GB2312" w:eastAsia="仿宋_GB2312"/>
          <w:sz w:val="28"/>
          <w:szCs w:val="28"/>
        </w:rPr>
        <w:t>就业率100%</w:t>
      </w:r>
      <w:r>
        <w:rPr>
          <w:rFonts w:hint="eastAsia" w:ascii="仿宋_GB2312" w:eastAsia="仿宋_GB2312"/>
          <w:sz w:val="28"/>
          <w:szCs w:val="28"/>
          <w:lang w:eastAsia="zh-CN"/>
        </w:rPr>
        <w:t>；</w:t>
      </w:r>
      <w:r>
        <w:rPr>
          <w:rFonts w:hint="eastAsia" w:ascii="仿宋_GB2312" w:eastAsia="仿宋_GB2312"/>
          <w:sz w:val="28"/>
          <w:szCs w:val="28"/>
        </w:rPr>
        <w:t>机电一体化技术、电梯</w:t>
      </w:r>
      <w:r>
        <w:rPr>
          <w:rFonts w:hint="eastAsia" w:ascii="仿宋_GB2312" w:eastAsia="仿宋_GB2312"/>
          <w:sz w:val="28"/>
          <w:szCs w:val="28"/>
          <w:lang w:eastAsia="zh-CN"/>
        </w:rPr>
        <w:t>工程技术</w:t>
      </w:r>
      <w:r>
        <w:rPr>
          <w:rFonts w:hint="eastAsia" w:ascii="仿宋_GB2312" w:eastAsia="仿宋_GB2312"/>
          <w:sz w:val="28"/>
          <w:szCs w:val="28"/>
        </w:rPr>
        <w:t>、</w:t>
      </w:r>
      <w:r>
        <w:rPr>
          <w:rFonts w:hint="eastAsia" w:ascii="仿宋_GB2312" w:eastAsia="仿宋_GB2312"/>
          <w:sz w:val="28"/>
          <w:szCs w:val="28"/>
          <w:lang w:eastAsia="zh-CN"/>
        </w:rPr>
        <w:t>动物医学等专业就业率在</w:t>
      </w:r>
      <w:r>
        <w:rPr>
          <w:rFonts w:hint="eastAsia" w:ascii="仿宋_GB2312" w:eastAsia="仿宋_GB2312"/>
          <w:sz w:val="28"/>
          <w:szCs w:val="28"/>
          <w:lang w:val="en-US" w:eastAsia="zh-CN"/>
        </w:rPr>
        <w:t>98%以上。</w:t>
      </w:r>
    </w:p>
    <w:p>
      <w:pPr>
        <w:spacing w:line="520" w:lineRule="exact"/>
        <w:ind w:firstLine="562" w:firstLineChars="200"/>
        <w:rPr>
          <w:rFonts w:ascii="仿宋_GB2312" w:eastAsia="仿宋_GB2312"/>
          <w:sz w:val="28"/>
          <w:szCs w:val="28"/>
        </w:rPr>
      </w:pPr>
      <w:r>
        <w:rPr>
          <w:rFonts w:hint="eastAsia" w:ascii="仿宋_GB2312" w:eastAsia="仿宋_GB2312"/>
          <w:b/>
          <w:bCs/>
          <w:sz w:val="28"/>
          <w:szCs w:val="28"/>
        </w:rPr>
        <w:t>（2）就业满意度总体稳定</w:t>
      </w:r>
    </w:p>
    <w:p>
      <w:pPr>
        <w:spacing w:line="480" w:lineRule="exact"/>
        <w:ind w:firstLine="560" w:firstLineChars="200"/>
        <w:rPr>
          <w:rFonts w:ascii="仿宋_GB2312" w:eastAsia="仿宋_GB2312"/>
          <w:b/>
          <w:bCs/>
          <w:sz w:val="24"/>
          <w:szCs w:val="24"/>
        </w:rPr>
      </w:pPr>
      <w:r>
        <w:rPr>
          <w:rFonts w:hint="eastAsia" w:ascii="仿宋_GB2312" w:eastAsia="仿宋_GB2312"/>
          <w:sz w:val="28"/>
          <w:szCs w:val="28"/>
        </w:rPr>
        <w:t>2017届毕业生雇主满意度</w:t>
      </w:r>
      <w:r>
        <w:rPr>
          <w:rFonts w:hint="eastAsia" w:ascii="仿宋_GB2312" w:eastAsia="仿宋_GB2312"/>
          <w:sz w:val="28"/>
          <w:szCs w:val="28"/>
          <w:lang w:eastAsia="zh-CN"/>
        </w:rPr>
        <w:t>为</w:t>
      </w:r>
      <w:r>
        <w:rPr>
          <w:rFonts w:hint="eastAsia" w:ascii="仿宋_GB2312" w:eastAsia="仿宋_GB2312"/>
          <w:sz w:val="28"/>
          <w:szCs w:val="28"/>
          <w:lang w:val="en-US" w:eastAsia="zh-CN"/>
        </w:rPr>
        <w:t>96%，</w:t>
      </w:r>
      <w:r>
        <w:rPr>
          <w:rFonts w:hint="eastAsia" w:ascii="仿宋_GB2312" w:eastAsia="仿宋_GB2312"/>
          <w:sz w:val="28"/>
          <w:szCs w:val="28"/>
        </w:rPr>
        <w:t>较上届提高</w:t>
      </w:r>
      <w:r>
        <w:rPr>
          <w:rFonts w:hint="eastAsia" w:ascii="仿宋_GB2312" w:eastAsia="仿宋_GB2312"/>
          <w:sz w:val="28"/>
          <w:szCs w:val="28"/>
          <w:lang w:val="en-US" w:eastAsia="zh-CN"/>
        </w:rPr>
        <w:t>5个百分点；</w:t>
      </w:r>
      <w:r>
        <w:rPr>
          <w:rFonts w:hint="eastAsia" w:ascii="仿宋_GB2312" w:eastAsia="仿宋_GB2312"/>
          <w:sz w:val="28"/>
          <w:szCs w:val="28"/>
        </w:rPr>
        <w:t>母校满意度</w:t>
      </w:r>
      <w:r>
        <w:rPr>
          <w:rFonts w:hint="eastAsia" w:ascii="仿宋_GB2312" w:eastAsia="仿宋_GB2312"/>
          <w:sz w:val="28"/>
          <w:szCs w:val="28"/>
          <w:lang w:eastAsia="zh-CN"/>
        </w:rPr>
        <w:t>为</w:t>
      </w:r>
      <w:r>
        <w:rPr>
          <w:rFonts w:hint="eastAsia" w:ascii="仿宋_GB2312" w:eastAsia="仿宋_GB2312"/>
          <w:sz w:val="28"/>
          <w:szCs w:val="28"/>
          <w:lang w:val="en-US" w:eastAsia="zh-CN"/>
        </w:rPr>
        <w:t>94%，</w:t>
      </w:r>
      <w:r>
        <w:rPr>
          <w:rFonts w:hint="eastAsia" w:ascii="仿宋_GB2312" w:eastAsia="仿宋_GB2312"/>
          <w:sz w:val="28"/>
          <w:szCs w:val="28"/>
        </w:rPr>
        <w:t>较上届提高</w:t>
      </w:r>
      <w:r>
        <w:rPr>
          <w:rFonts w:hint="eastAsia" w:ascii="仿宋_GB2312" w:eastAsia="仿宋_GB2312"/>
          <w:sz w:val="28"/>
          <w:szCs w:val="28"/>
          <w:lang w:val="en-US" w:eastAsia="zh-CN"/>
        </w:rPr>
        <w:t>1个百分点</w:t>
      </w:r>
      <w:r>
        <w:rPr>
          <w:rFonts w:hint="eastAsia" w:ascii="仿宋_GB2312" w:eastAsia="仿宋_GB2312"/>
          <w:sz w:val="28"/>
          <w:szCs w:val="28"/>
        </w:rPr>
        <w:t>（见图1-2）。毕业生的职场表现进一步得到用人单位认可，学院的教育教学服务进一步得到学生认可。</w:t>
      </w:r>
    </w:p>
    <w:p>
      <w:pPr>
        <w:spacing w:line="480" w:lineRule="exact"/>
        <w:jc w:val="center"/>
        <w:rPr>
          <w:rFonts w:ascii="宋体" w:hAnsi="宋体" w:eastAsia="宋体" w:cs="宋体"/>
          <w:b/>
          <w:bCs/>
          <w:kern w:val="0"/>
          <w:sz w:val="24"/>
          <w:szCs w:val="24"/>
        </w:rPr>
      </w:pPr>
      <w:r>
        <w:rPr>
          <w:rFonts w:hint="eastAsia" w:ascii="仿宋_GB2312" w:eastAsia="仿宋_GB2312"/>
          <w:b/>
          <w:bCs/>
          <w:sz w:val="24"/>
          <w:szCs w:val="24"/>
        </w:rPr>
        <w:t>图</w:t>
      </w:r>
      <w:r>
        <w:rPr>
          <w:rFonts w:hint="eastAsia" w:ascii="Times New Roman" w:hAnsi="Times New Roman" w:eastAsia="仿宋_GB2312"/>
          <w:b/>
          <w:bCs/>
          <w:sz w:val="24"/>
          <w:szCs w:val="24"/>
        </w:rPr>
        <w:t xml:space="preserve">2-2 </w:t>
      </w:r>
      <w:r>
        <w:rPr>
          <w:rFonts w:hint="eastAsia" w:ascii="Times New Roman" w:hAnsi="Times New Roman" w:eastAsia="仿宋_GB2312"/>
          <w:b/>
          <w:bCs/>
          <w:sz w:val="24"/>
          <w:szCs w:val="24"/>
          <w:lang w:val="en-US" w:eastAsia="zh-CN"/>
        </w:rPr>
        <w:t xml:space="preserve"> </w:t>
      </w:r>
      <w:r>
        <w:rPr>
          <w:rFonts w:hint="eastAsia" w:ascii="Times New Roman" w:hAnsi="Times New Roman" w:eastAsia="仿宋_GB2312"/>
          <w:b/>
          <w:bCs/>
          <w:sz w:val="24"/>
          <w:szCs w:val="24"/>
        </w:rPr>
        <w:t>2013—2017</w:t>
      </w:r>
      <w:r>
        <w:rPr>
          <w:rFonts w:hint="eastAsia" w:ascii="仿宋_GB2312" w:eastAsia="仿宋_GB2312"/>
          <w:b/>
          <w:bCs/>
          <w:sz w:val="24"/>
          <w:szCs w:val="24"/>
        </w:rPr>
        <w:t>年毕业生就业满意度（%）</w:t>
      </w:r>
    </w:p>
    <w:p>
      <w:pPr>
        <w:ind w:firstLine="420" w:firstLineChars="200"/>
      </w:pPr>
      <w:r>
        <w:drawing>
          <wp:inline distT="0" distB="0" distL="114300" distR="114300">
            <wp:extent cx="4572000" cy="2743200"/>
            <wp:effectExtent l="4445" t="4445" r="14605" b="14605"/>
            <wp:docPr id="1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ind w:firstLine="422" w:firstLineChars="200"/>
        <w:jc w:val="center"/>
        <w:rPr>
          <w:rFonts w:ascii="楷体" w:hAnsi="楷体" w:eastAsia="楷体" w:cs="楷体"/>
          <w:b/>
          <w:bCs/>
        </w:rPr>
      </w:pPr>
      <w:r>
        <w:rPr>
          <w:rFonts w:hint="eastAsia" w:ascii="楷体" w:hAnsi="楷体" w:eastAsia="楷体" w:cs="楷体"/>
          <w:b/>
          <w:bCs/>
        </w:rPr>
        <w:t>数据来源：招生就业处</w:t>
      </w:r>
    </w:p>
    <w:p>
      <w:pPr>
        <w:spacing w:line="480" w:lineRule="exact"/>
        <w:ind w:firstLine="562" w:firstLineChars="200"/>
        <w:rPr>
          <w:rFonts w:ascii="仿宋_GB2312" w:eastAsia="仿宋_GB2312"/>
          <w:b/>
          <w:bCs/>
          <w:sz w:val="28"/>
          <w:szCs w:val="28"/>
        </w:rPr>
      </w:pPr>
      <w:r>
        <w:rPr>
          <w:rFonts w:hint="eastAsia" w:ascii="仿宋_GB2312" w:eastAsia="仿宋_GB2312"/>
          <w:b/>
          <w:bCs/>
          <w:sz w:val="28"/>
          <w:szCs w:val="28"/>
        </w:rPr>
        <w:t>（3）毕业生平均月收入稳定增长</w:t>
      </w:r>
    </w:p>
    <w:p>
      <w:pPr>
        <w:spacing w:line="480" w:lineRule="exact"/>
        <w:ind w:firstLine="560" w:firstLineChars="200"/>
        <w:rPr>
          <w:rFonts w:ascii="仿宋_GB2312" w:eastAsia="仿宋_GB2312"/>
          <w:sz w:val="28"/>
          <w:szCs w:val="28"/>
        </w:rPr>
      </w:pPr>
      <w:r>
        <w:rPr>
          <w:rFonts w:hint="eastAsia" w:ascii="仿宋_GB2312" w:eastAsia="仿宋_GB2312"/>
          <w:sz w:val="28"/>
          <w:szCs w:val="28"/>
        </w:rPr>
        <w:t>学院2017届毕业生半年后的平均月收入为3600元，比上一届毕业生增长了400元；比2013届毕业生增长29.17%（见图2—2）。</w:t>
      </w:r>
    </w:p>
    <w:p>
      <w:pPr>
        <w:spacing w:line="400" w:lineRule="exact"/>
        <w:ind w:firstLine="482" w:firstLineChars="200"/>
        <w:jc w:val="center"/>
        <w:rPr>
          <w:rFonts w:ascii="仿宋_GB2312" w:eastAsia="仿宋_GB2312"/>
          <w:b/>
          <w:bCs/>
          <w:sz w:val="24"/>
          <w:szCs w:val="24"/>
        </w:rPr>
      </w:pPr>
      <w:r>
        <w:rPr>
          <w:rFonts w:hint="eastAsia" w:ascii="仿宋_GB2312" w:eastAsia="仿宋_GB2312"/>
          <w:b/>
          <w:bCs/>
          <w:sz w:val="24"/>
          <w:szCs w:val="24"/>
        </w:rPr>
        <w:t>图</w:t>
      </w:r>
      <w:r>
        <w:rPr>
          <w:rFonts w:hint="eastAsia" w:ascii="Times New Roman" w:hAnsi="Times New Roman" w:eastAsia="仿宋_GB2312"/>
          <w:b/>
          <w:bCs/>
          <w:sz w:val="24"/>
          <w:szCs w:val="24"/>
        </w:rPr>
        <w:t>2-</w:t>
      </w:r>
      <w:r>
        <w:rPr>
          <w:rFonts w:hint="eastAsia" w:ascii="Times New Roman" w:hAnsi="Times New Roman" w:eastAsia="仿宋_GB2312"/>
          <w:b/>
          <w:bCs/>
          <w:sz w:val="24"/>
          <w:szCs w:val="24"/>
          <w:lang w:val="en-US" w:eastAsia="zh-CN"/>
        </w:rPr>
        <w:t>3</w:t>
      </w:r>
      <w:r>
        <w:rPr>
          <w:rFonts w:hint="eastAsia" w:ascii="Times New Roman" w:hAnsi="Times New Roman" w:eastAsia="仿宋_GB2312"/>
          <w:sz w:val="24"/>
          <w:szCs w:val="24"/>
        </w:rPr>
        <w:t xml:space="preserve">  </w:t>
      </w:r>
      <w:r>
        <w:rPr>
          <w:rFonts w:hint="eastAsia" w:ascii="Times New Roman" w:hAnsi="Times New Roman" w:eastAsia="仿宋_GB2312"/>
          <w:b/>
          <w:bCs/>
          <w:sz w:val="24"/>
          <w:szCs w:val="24"/>
        </w:rPr>
        <w:t>2013—2017</w:t>
      </w:r>
      <w:r>
        <w:rPr>
          <w:rFonts w:hint="eastAsia" w:ascii="仿宋_GB2312" w:eastAsia="仿宋_GB2312"/>
          <w:b/>
          <w:bCs/>
          <w:sz w:val="24"/>
          <w:szCs w:val="24"/>
        </w:rPr>
        <w:t>届毕业生平均月收入</w:t>
      </w:r>
    </w:p>
    <w:p>
      <w:pPr>
        <w:jc w:val="center"/>
        <w:rPr>
          <w:rFonts w:ascii="仿宋_GB2312" w:hAnsi="仿宋_GB2312" w:eastAsia="仿宋_GB2312" w:cs="仿宋_GB2312"/>
          <w:b/>
          <w:bCs/>
          <w:sz w:val="32"/>
          <w:szCs w:val="32"/>
        </w:rPr>
      </w:pPr>
      <w:r>
        <w:drawing>
          <wp:inline distT="0" distB="0" distL="114300" distR="114300">
            <wp:extent cx="4572000" cy="2743200"/>
            <wp:effectExtent l="4445" t="4445" r="14605" b="14605"/>
            <wp:docPr id="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spacing w:line="660" w:lineRule="exact"/>
        <w:ind w:firstLine="422" w:firstLineChars="200"/>
        <w:jc w:val="center"/>
        <w:rPr>
          <w:rFonts w:ascii="仿宋_GB2312" w:hAnsi="仿宋_GB2312" w:eastAsia="仿宋_GB2312" w:cs="仿宋_GB2312"/>
          <w:b/>
          <w:bCs/>
          <w:sz w:val="28"/>
          <w:szCs w:val="28"/>
        </w:rPr>
      </w:pPr>
      <w:r>
        <w:rPr>
          <w:rFonts w:hint="eastAsia" w:ascii="楷体" w:hAnsi="楷体" w:eastAsia="楷体" w:cs="楷体"/>
          <w:b/>
          <w:bCs/>
        </w:rPr>
        <w:t>数据来源：招生就业处</w:t>
      </w:r>
    </w:p>
    <w:p>
      <w:pPr>
        <w:spacing w:line="520" w:lineRule="exact"/>
        <w:rPr>
          <w:rFonts w:ascii="仿宋_GB2312" w:hAnsi="仿宋_GB2312" w:eastAsia="仿宋_GB2312" w:cs="仿宋_GB2312"/>
          <w:b/>
          <w:bCs/>
          <w:sz w:val="28"/>
          <w:szCs w:val="28"/>
        </w:rPr>
      </w:pPr>
      <w:bookmarkStart w:id="63" w:name="_Toc7371"/>
      <w:bookmarkStart w:id="64" w:name="_Toc11619"/>
      <w:bookmarkStart w:id="65" w:name="_Toc8645"/>
      <w:bookmarkStart w:id="66" w:name="_Toc928"/>
      <w:bookmarkStart w:id="67" w:name="_Toc22206"/>
      <w:bookmarkStart w:id="68" w:name="_Toc30417"/>
      <w:bookmarkStart w:id="69" w:name="_Toc2820"/>
      <w:r>
        <w:rPr>
          <w:rFonts w:hint="eastAsia" w:ascii="仿宋_GB2312" w:hAnsi="仿宋_GB2312" w:eastAsia="仿宋_GB2312" w:cs="仿宋_GB2312"/>
          <w:b/>
          <w:bCs/>
          <w:sz w:val="28"/>
          <w:szCs w:val="28"/>
        </w:rPr>
        <w:t>2.2职业发展</w:t>
      </w:r>
      <w:bookmarkEnd w:id="63"/>
      <w:bookmarkEnd w:id="64"/>
      <w:bookmarkEnd w:id="65"/>
      <w:bookmarkEnd w:id="66"/>
      <w:bookmarkEnd w:id="67"/>
      <w:bookmarkEnd w:id="68"/>
      <w:bookmarkEnd w:id="69"/>
    </w:p>
    <w:p>
      <w:pPr>
        <w:spacing w:line="52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（1）毕业三年后月收入增长较快</w:t>
      </w:r>
    </w:p>
    <w:p>
      <w:pPr>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2012届—2014届高职毕业生毕业三年后月收入均有明显增长，其中2014届毕业生毕业三年后月收入为4500元，与毕业当年2445元相比，增幅达84.05 %（见图2-3 ）。</w:t>
      </w:r>
    </w:p>
    <w:p>
      <w:pPr>
        <w:spacing w:line="520" w:lineRule="exact"/>
        <w:ind w:firstLine="482" w:firstLineChars="200"/>
        <w:jc w:val="center"/>
        <w:rPr>
          <w:rFonts w:ascii="Times New Roman" w:hAnsi="Times New Roman" w:eastAsia="仿宋_GB2312"/>
          <w:sz w:val="28"/>
          <w:szCs w:val="28"/>
        </w:rPr>
      </w:pPr>
      <w:r>
        <w:rPr>
          <w:rFonts w:hint="eastAsia" w:ascii="仿宋_GB2312" w:hAnsi="仿宋_GB2312" w:eastAsia="仿宋_GB2312" w:cs="仿宋_GB2312"/>
          <w:b/>
          <w:bCs/>
          <w:sz w:val="24"/>
          <w:szCs w:val="24"/>
        </w:rPr>
        <w:t>图</w:t>
      </w:r>
      <w:r>
        <w:rPr>
          <w:rFonts w:hint="eastAsia" w:ascii="Times New Roman" w:hAnsi="Times New Roman" w:eastAsia="仿宋_GB2312"/>
          <w:b/>
          <w:bCs/>
          <w:sz w:val="24"/>
          <w:szCs w:val="24"/>
        </w:rPr>
        <w:t>2-</w:t>
      </w:r>
      <w:r>
        <w:rPr>
          <w:rFonts w:hint="eastAsia" w:ascii="Times New Roman" w:hAnsi="Times New Roman" w:eastAsia="仿宋_GB2312"/>
          <w:b/>
          <w:bCs/>
          <w:sz w:val="24"/>
          <w:szCs w:val="24"/>
          <w:lang w:val="en-US" w:eastAsia="zh-CN"/>
        </w:rPr>
        <w:t>4</w:t>
      </w:r>
      <w:r>
        <w:rPr>
          <w:rFonts w:hint="eastAsia" w:ascii="Times New Roman" w:hAnsi="Times New Roman" w:eastAsia="仿宋_GB2312"/>
          <w:sz w:val="24"/>
          <w:szCs w:val="24"/>
        </w:rPr>
        <w:t xml:space="preserve"> </w:t>
      </w:r>
      <w:r>
        <w:rPr>
          <w:rFonts w:hint="eastAsia" w:ascii="仿宋_GB2312" w:hAnsi="仿宋_GB2312" w:eastAsia="仿宋_GB2312" w:cs="仿宋_GB2312"/>
          <w:sz w:val="28"/>
          <w:szCs w:val="28"/>
        </w:rPr>
        <w:t xml:space="preserve"> </w:t>
      </w:r>
      <w:r>
        <w:rPr>
          <w:rFonts w:hint="eastAsia" w:ascii="Times New Roman" w:hAnsi="Times New Roman" w:eastAsia="仿宋_GB2312"/>
          <w:b/>
          <w:bCs/>
          <w:sz w:val="24"/>
          <w:szCs w:val="24"/>
        </w:rPr>
        <w:t>2012—2014</w:t>
      </w:r>
      <w:r>
        <w:rPr>
          <w:rFonts w:hint="eastAsia" w:ascii="仿宋_GB2312" w:eastAsia="仿宋_GB2312"/>
          <w:b/>
          <w:bCs/>
          <w:sz w:val="24"/>
          <w:szCs w:val="24"/>
        </w:rPr>
        <w:t>届毕业生毕业三年后平均月收入</w:t>
      </w:r>
    </w:p>
    <w:p>
      <w:pPr>
        <w:jc w:val="center"/>
        <w:rPr>
          <w:rFonts w:ascii="仿宋_GB2312" w:hAnsi="仿宋_GB2312" w:eastAsia="仿宋_GB2312" w:cs="仿宋_GB2312"/>
          <w:b/>
          <w:bCs/>
          <w:sz w:val="32"/>
          <w:szCs w:val="32"/>
        </w:rPr>
      </w:pPr>
      <w:r>
        <w:drawing>
          <wp:inline distT="0" distB="0" distL="114300" distR="114300">
            <wp:extent cx="4572000" cy="2743200"/>
            <wp:effectExtent l="4445" t="4445" r="14605" b="14605"/>
            <wp:docPr id="1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jc w:val="center"/>
        <w:rPr>
          <w:rFonts w:ascii="仿宋_GB2312" w:hAnsi="仿宋_GB2312" w:eastAsia="仿宋_GB2312" w:cs="仿宋_GB2312"/>
          <w:b/>
          <w:bCs/>
          <w:sz w:val="32"/>
          <w:szCs w:val="32"/>
        </w:rPr>
      </w:pPr>
      <w:r>
        <w:rPr>
          <w:rFonts w:hint="eastAsia" w:ascii="楷体" w:hAnsi="楷体" w:eastAsia="楷体" w:cs="楷体"/>
          <w:b/>
          <w:bCs/>
        </w:rPr>
        <w:t>数据来源：招生就业处</w:t>
      </w:r>
    </w:p>
    <w:p>
      <w:pPr>
        <w:spacing w:line="52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（2）</w:t>
      </w:r>
      <w:r>
        <w:rPr>
          <w:rFonts w:hint="eastAsia" w:ascii="Times New Roman" w:hAnsi="Times New Roman" w:eastAsia="仿宋_GB2312"/>
          <w:b/>
          <w:bCs/>
          <w:sz w:val="28"/>
          <w:szCs w:val="28"/>
        </w:rPr>
        <w:t>毕业生三年</w:t>
      </w:r>
      <w:r>
        <w:rPr>
          <w:rFonts w:hint="eastAsia" w:ascii="Times New Roman" w:hAnsi="Times New Roman" w:eastAsia="仿宋_GB2312"/>
          <w:b/>
          <w:bCs/>
          <w:sz w:val="28"/>
          <w:szCs w:val="28"/>
          <w:lang w:eastAsia="zh-CN"/>
        </w:rPr>
        <w:t>内</w:t>
      </w:r>
      <w:r>
        <w:rPr>
          <w:rFonts w:hint="eastAsia" w:ascii="Times New Roman" w:hAnsi="Times New Roman" w:eastAsia="仿宋_GB2312"/>
          <w:b/>
          <w:bCs/>
          <w:sz w:val="28"/>
          <w:szCs w:val="28"/>
        </w:rPr>
        <w:t>职位晋升情况</w:t>
      </w:r>
    </w:p>
    <w:p>
      <w:pPr>
        <w:spacing w:line="520"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我院毕业生三年内职位晋升比例均提高，</w:t>
      </w:r>
      <w:r>
        <w:rPr>
          <w:rFonts w:hint="eastAsia" w:ascii="仿宋_GB2312" w:hAnsi="仿宋_GB2312" w:eastAsia="仿宋_GB2312" w:cs="仿宋_GB2312"/>
          <w:sz w:val="28"/>
          <w:szCs w:val="28"/>
        </w:rPr>
        <w:t>2014</w:t>
      </w:r>
      <w:r>
        <w:rPr>
          <w:rFonts w:hint="eastAsia" w:ascii="Times New Roman" w:hAnsi="Times New Roman" w:eastAsia="仿宋_GB2312"/>
          <w:sz w:val="28"/>
          <w:szCs w:val="28"/>
        </w:rPr>
        <w:t>届高职毕业生毕业三年内职务晋升比例、从生产岗位晋升到管理岗位的比例有明显增长，毕业生具有较强的职业竞争能力（见表2</w:t>
      </w:r>
      <w:r>
        <w:rPr>
          <w:rFonts w:ascii="Times New Roman" w:hAnsi="Times New Roman" w:eastAsia="仿宋_GB2312"/>
          <w:sz w:val="28"/>
          <w:szCs w:val="28"/>
        </w:rPr>
        <w:t>-2</w:t>
      </w:r>
      <w:r>
        <w:rPr>
          <w:rFonts w:hint="eastAsia" w:ascii="Times New Roman" w:hAnsi="Times New Roman" w:eastAsia="仿宋_GB2312"/>
          <w:sz w:val="28"/>
          <w:szCs w:val="28"/>
        </w:rPr>
        <w:t>）。</w:t>
      </w:r>
    </w:p>
    <w:p>
      <w:pPr>
        <w:spacing w:line="52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24"/>
          <w:szCs w:val="24"/>
        </w:rPr>
        <w:t>表</w:t>
      </w:r>
      <w:r>
        <w:rPr>
          <w:rFonts w:hint="eastAsia" w:ascii="Times New Roman" w:hAnsi="Times New Roman" w:eastAsia="仿宋_GB2312"/>
          <w:b/>
          <w:bCs/>
          <w:sz w:val="24"/>
          <w:szCs w:val="24"/>
        </w:rPr>
        <w:t>2-</w:t>
      </w:r>
      <w:r>
        <w:rPr>
          <w:rFonts w:hint="eastAsia" w:ascii="Times New Roman" w:hAnsi="Times New Roman" w:eastAsia="仿宋_GB2312"/>
          <w:b/>
          <w:bCs/>
          <w:sz w:val="24"/>
          <w:szCs w:val="24"/>
          <w:lang w:val="en-US" w:eastAsia="zh-CN"/>
        </w:rPr>
        <w:t>1</w:t>
      </w:r>
      <w:r>
        <w:rPr>
          <w:rFonts w:hint="eastAsia" w:ascii="Times New Roman" w:hAnsi="Times New Roman" w:eastAsia="仿宋_GB2312"/>
          <w:sz w:val="24"/>
          <w:szCs w:val="24"/>
        </w:rPr>
        <w:t xml:space="preserve"> </w:t>
      </w:r>
      <w:r>
        <w:rPr>
          <w:rFonts w:hint="eastAsia" w:ascii="Times New Roman" w:hAnsi="Times New Roman" w:eastAsia="仿宋_GB2312"/>
          <w:b/>
          <w:bCs/>
          <w:sz w:val="24"/>
          <w:szCs w:val="24"/>
        </w:rPr>
        <w:t xml:space="preserve"> 毕业生三年</w:t>
      </w:r>
      <w:r>
        <w:rPr>
          <w:rFonts w:hint="eastAsia" w:ascii="Times New Roman" w:hAnsi="Times New Roman" w:eastAsia="仿宋_GB2312"/>
          <w:b/>
          <w:bCs/>
          <w:sz w:val="24"/>
          <w:szCs w:val="24"/>
          <w:lang w:eastAsia="zh-CN"/>
        </w:rPr>
        <w:t>内</w:t>
      </w:r>
      <w:r>
        <w:rPr>
          <w:rFonts w:hint="eastAsia" w:ascii="Times New Roman" w:hAnsi="Times New Roman" w:eastAsia="仿宋_GB2312"/>
          <w:b/>
          <w:bCs/>
          <w:sz w:val="24"/>
          <w:szCs w:val="24"/>
        </w:rPr>
        <w:t>职位晋升情况</w:t>
      </w:r>
    </w:p>
    <w:tbl>
      <w:tblPr>
        <w:tblStyle w:val="8"/>
        <w:tblW w:w="8504" w:type="dxa"/>
        <w:jc w:val="center"/>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7"/>
        <w:gridCol w:w="4635"/>
        <w:gridCol w:w="1200"/>
        <w:gridCol w:w="960"/>
        <w:gridCol w:w="9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27"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序号</w:t>
            </w:r>
          </w:p>
        </w:tc>
        <w:tc>
          <w:tcPr>
            <w:tcW w:w="4635"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指  标</w:t>
            </w:r>
          </w:p>
        </w:tc>
        <w:tc>
          <w:tcPr>
            <w:tcW w:w="1200"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2012届</w:t>
            </w:r>
          </w:p>
        </w:tc>
        <w:tc>
          <w:tcPr>
            <w:tcW w:w="960"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2013届</w:t>
            </w:r>
          </w:p>
        </w:tc>
        <w:tc>
          <w:tcPr>
            <w:tcW w:w="982"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2014届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727"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1</w:t>
            </w:r>
          </w:p>
        </w:tc>
        <w:tc>
          <w:tcPr>
            <w:tcW w:w="4635"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毕业生近三年发生过职位晋升的比例（%）</w:t>
            </w:r>
          </w:p>
        </w:tc>
        <w:tc>
          <w:tcPr>
            <w:tcW w:w="120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30</w:t>
            </w:r>
          </w:p>
        </w:tc>
        <w:tc>
          <w:tcPr>
            <w:tcW w:w="96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35</w:t>
            </w:r>
          </w:p>
        </w:tc>
        <w:tc>
          <w:tcPr>
            <w:tcW w:w="982"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49.51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727"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2</w:t>
            </w:r>
          </w:p>
        </w:tc>
        <w:tc>
          <w:tcPr>
            <w:tcW w:w="4635"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 xml:space="preserve">    A.其中晋升1次的比例（%）</w:t>
            </w:r>
          </w:p>
        </w:tc>
        <w:tc>
          <w:tcPr>
            <w:tcW w:w="120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12</w:t>
            </w:r>
          </w:p>
        </w:tc>
        <w:tc>
          <w:tcPr>
            <w:tcW w:w="96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15</w:t>
            </w:r>
          </w:p>
        </w:tc>
        <w:tc>
          <w:tcPr>
            <w:tcW w:w="982"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29.41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727"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3</w:t>
            </w:r>
          </w:p>
        </w:tc>
        <w:tc>
          <w:tcPr>
            <w:tcW w:w="4635"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 xml:space="preserve">    B.其中晋升2次的比例（%）</w:t>
            </w:r>
          </w:p>
        </w:tc>
        <w:tc>
          <w:tcPr>
            <w:tcW w:w="120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8</w:t>
            </w:r>
          </w:p>
        </w:tc>
        <w:tc>
          <w:tcPr>
            <w:tcW w:w="96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8</w:t>
            </w:r>
          </w:p>
        </w:tc>
        <w:tc>
          <w:tcPr>
            <w:tcW w:w="982"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1.47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727"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4</w:t>
            </w:r>
          </w:p>
        </w:tc>
        <w:tc>
          <w:tcPr>
            <w:tcW w:w="4635"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 xml:space="preserve">    C.从生产岗位晋升到管理岗位的比例（%）</w:t>
            </w:r>
          </w:p>
        </w:tc>
        <w:tc>
          <w:tcPr>
            <w:tcW w:w="120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10</w:t>
            </w:r>
          </w:p>
        </w:tc>
        <w:tc>
          <w:tcPr>
            <w:tcW w:w="96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14</w:t>
            </w:r>
          </w:p>
        </w:tc>
        <w:tc>
          <w:tcPr>
            <w:tcW w:w="982"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20.10</w:t>
            </w:r>
          </w:p>
        </w:tc>
      </w:tr>
    </w:tbl>
    <w:p>
      <w:pPr>
        <w:jc w:val="center"/>
        <w:rPr>
          <w:rFonts w:ascii="楷体" w:hAnsi="楷体" w:eastAsia="楷体" w:cs="楷体"/>
          <w:sz w:val="24"/>
          <w:szCs w:val="24"/>
        </w:rPr>
      </w:pPr>
      <w:r>
        <w:rPr>
          <w:rFonts w:hint="eastAsia" w:ascii="楷体" w:hAnsi="楷体" w:eastAsia="楷体" w:cs="楷体"/>
        </w:rPr>
        <w:t>数据来源：招生就业处</w:t>
      </w:r>
    </w:p>
    <w:p>
      <w:pPr>
        <w:spacing w:line="520" w:lineRule="exact"/>
        <w:rPr>
          <w:rFonts w:ascii="仿宋_GB2312" w:hAnsi="仿宋_GB2312" w:eastAsia="仿宋_GB2312" w:cs="仿宋_GB2312"/>
          <w:b/>
          <w:bCs/>
          <w:sz w:val="28"/>
          <w:szCs w:val="28"/>
        </w:rPr>
      </w:pPr>
      <w:bookmarkStart w:id="70" w:name="_Toc14902"/>
      <w:bookmarkStart w:id="71" w:name="_Toc19979"/>
      <w:bookmarkStart w:id="72" w:name="_Toc23640"/>
      <w:bookmarkStart w:id="73" w:name="_Toc31284"/>
      <w:bookmarkStart w:id="74" w:name="_Toc10921"/>
      <w:bookmarkStart w:id="75" w:name="_Toc30302"/>
      <w:bookmarkStart w:id="76" w:name="_Toc8967"/>
      <w:r>
        <w:rPr>
          <w:rFonts w:hint="eastAsia" w:ascii="仿宋_GB2312" w:hAnsi="仿宋_GB2312" w:eastAsia="仿宋_GB2312" w:cs="仿宋_GB2312"/>
          <w:b/>
          <w:bCs/>
          <w:sz w:val="28"/>
          <w:szCs w:val="28"/>
        </w:rPr>
        <w:t>2.3学生素质</w:t>
      </w:r>
      <w:bookmarkEnd w:id="70"/>
      <w:bookmarkEnd w:id="71"/>
      <w:bookmarkEnd w:id="72"/>
      <w:bookmarkEnd w:id="73"/>
      <w:bookmarkEnd w:id="74"/>
      <w:bookmarkEnd w:id="75"/>
      <w:bookmarkEnd w:id="76"/>
    </w:p>
    <w:p>
      <w:pPr>
        <w:spacing w:line="520" w:lineRule="exact"/>
        <w:ind w:firstLine="562" w:firstLineChars="200"/>
        <w:rPr>
          <w:rFonts w:ascii="仿宋_GB2312" w:eastAsia="仿宋_GB2312"/>
          <w:b/>
          <w:bCs/>
          <w:sz w:val="28"/>
          <w:szCs w:val="28"/>
        </w:rPr>
      </w:pPr>
      <w:r>
        <w:rPr>
          <w:rFonts w:hint="eastAsia" w:ascii="仿宋_GB2312" w:eastAsia="仿宋_GB2312"/>
          <w:b/>
          <w:bCs/>
          <w:sz w:val="28"/>
          <w:szCs w:val="28"/>
        </w:rPr>
        <w:t>（1）思想道德素质</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2"/>
        <w:jc w:val="both"/>
        <w:textAlignment w:val="auto"/>
        <w:outlineLvl w:val="9"/>
        <w:rPr>
          <w:rFonts w:hint="eastAsia" w:ascii="仿宋_GB2312" w:hAnsi="仿宋_GB2312" w:eastAsia="仿宋_GB2312" w:cs="仿宋_GB2312"/>
          <w:sz w:val="28"/>
          <w:szCs w:val="28"/>
        </w:rPr>
      </w:pPr>
      <w:r>
        <w:rPr>
          <w:rFonts w:hint="eastAsia" w:ascii="仿宋_GB2312" w:eastAsia="仿宋_GB2312"/>
          <w:sz w:val="28"/>
          <w:szCs w:val="28"/>
        </w:rPr>
        <w:t>学院积极贯彻习近平总书记在全国大学生政治工作会议上讲话精神，把立德树人做为首要工作，</w:t>
      </w:r>
      <w:r>
        <w:rPr>
          <w:rFonts w:hint="eastAsia" w:ascii="Times New Roman" w:hAnsi="Times New Roman" w:eastAsia="仿宋_GB2312"/>
          <w:sz w:val="28"/>
          <w:szCs w:val="28"/>
        </w:rPr>
        <w:t>将培育和践行社会主义核心价值观融入教育教学全过程，广大学生普遍树立了正确的理想信念。</w:t>
      </w:r>
      <w:r>
        <w:rPr>
          <w:rFonts w:hint="eastAsia" w:ascii="仿宋_GB2312" w:eastAsia="仿宋_GB2312"/>
          <w:sz w:val="28"/>
          <w:szCs w:val="28"/>
        </w:rPr>
        <w:t>2017年</w:t>
      </w:r>
      <w:r>
        <w:rPr>
          <w:rFonts w:hint="eastAsia" w:ascii="Times New Roman" w:hAnsi="Times New Roman" w:eastAsia="仿宋_GB2312"/>
          <w:sz w:val="28"/>
          <w:szCs w:val="28"/>
        </w:rPr>
        <w:t>有</w:t>
      </w:r>
      <w:r>
        <w:rPr>
          <w:rFonts w:hint="eastAsia" w:ascii="仿宋_GB2312" w:hAnsi="仿宋_GB2312" w:eastAsia="仿宋_GB2312" w:cs="仿宋_GB2312"/>
          <w:sz w:val="28"/>
          <w:szCs w:val="28"/>
        </w:rPr>
        <w:t>285名学生参加党校培训，比2016年增长12.28%。</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ascii="仿宋_GB2312" w:eastAsia="仿宋_GB2312"/>
          <w:sz w:val="28"/>
          <w:szCs w:val="28"/>
        </w:rPr>
      </w:pPr>
      <w:r>
        <w:rPr>
          <w:rFonts w:hint="eastAsia" w:ascii="仿宋_GB2312" w:eastAsia="仿宋_GB2312"/>
          <w:sz w:val="28"/>
          <w:szCs w:val="28"/>
        </w:rPr>
        <w:t>学生爱国爱校的情怀增强。没有学生参与邪教组织。学生普遍关注学院发展大事，参与校园建设，积极开展志愿服务、义务清理校园杂草，通过微信、微博、QQ等多种途径宣传学院发展情况，传递正能量。</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280" w:firstLineChars="100"/>
        <w:jc w:val="both"/>
        <w:textAlignment w:val="auto"/>
        <w:outlineLvl w:val="9"/>
        <w:rPr>
          <w:rFonts w:ascii="Times New Roman" w:hAnsi="Times New Roman" w:eastAsia="仿宋_GB2312"/>
          <w:sz w:val="28"/>
          <w:szCs w:val="28"/>
        </w:rPr>
      </w:pPr>
      <w:r>
        <w:rPr>
          <w:rFonts w:hint="eastAsia" w:ascii="Times New Roman" w:hAnsi="Times New Roman" w:eastAsia="仿宋_GB2312"/>
          <w:sz w:val="28"/>
          <w:szCs w:val="28"/>
        </w:rPr>
        <w:t xml:space="preserve"> </w:t>
      </w:r>
      <w:r>
        <w:rPr>
          <w:rFonts w:hint="eastAsia" w:ascii="仿宋_GB2312" w:eastAsia="仿宋_GB2312"/>
          <w:sz w:val="28"/>
          <w:szCs w:val="28"/>
        </w:rPr>
        <w:t>学生诚信与感恩意识提升。学生学会了诚实守信，懂得了感恩，每当教师节、父亲节、母亲节等学生都会打电话、发短信向老师、父母送祝福。</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ascii="仿宋_GB2312" w:eastAsia="仿宋_GB2312"/>
          <w:sz w:val="28"/>
          <w:szCs w:val="28"/>
        </w:rPr>
      </w:pPr>
      <w:r>
        <w:rPr>
          <w:rFonts w:hint="eastAsia" w:ascii="仿宋_GB2312" w:eastAsia="仿宋_GB2312"/>
          <w:sz w:val="28"/>
          <w:szCs w:val="28"/>
        </w:rPr>
        <w:t>学生热心公益事业，全年开展大型志愿服务活动20次，注册志愿者407人，全院参加志愿服务活动7000余人次，其中义务献血400人次；参与邵阳市国家卫生城市创建活动1000人次；参与“助力精准扶贫，爱洒城步苗乡”活动30人次。</w:t>
      </w:r>
    </w:p>
    <w:p>
      <w:r>
        <w:drawing>
          <wp:inline distT="0" distB="0" distL="114300" distR="114300">
            <wp:extent cx="2555875" cy="1690370"/>
            <wp:effectExtent l="0" t="0" r="15875" b="5080"/>
            <wp:docPr id="143363" name="Picture 3" descr="C:\Users\Administrator\20160328222141_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3" name="Picture 3" descr="C:\Users\Administrator\20160328222141_7500.jpg"/>
                    <pic:cNvPicPr>
                      <a:picLocks noChangeAspect="1" noChangeArrowheads="1"/>
                    </pic:cNvPicPr>
                  </pic:nvPicPr>
                  <pic:blipFill>
                    <a:blip r:embed="rId18" cstate="print"/>
                    <a:srcRect/>
                    <a:stretch>
                      <a:fillRect/>
                    </a:stretch>
                  </pic:blipFill>
                  <pic:spPr>
                    <a:xfrm>
                      <a:off x="0" y="0"/>
                      <a:ext cx="2556126" cy="1690543"/>
                    </a:xfrm>
                    <a:prstGeom prst="rect">
                      <a:avLst/>
                    </a:prstGeom>
                    <a:noFill/>
                  </pic:spPr>
                </pic:pic>
              </a:graphicData>
            </a:graphic>
          </wp:inline>
        </w:drawing>
      </w:r>
      <w:r>
        <w:drawing>
          <wp:inline distT="0" distB="0" distL="114300" distR="114300">
            <wp:extent cx="2541905" cy="1693545"/>
            <wp:effectExtent l="0" t="0" r="10795" b="1905"/>
            <wp:docPr id="136197" name="Picture 5" descr="C:\Users\Administrator\20160620170819_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7" name="Picture 5" descr="C:\Users\Administrator\20160620170819_7500.jpg"/>
                    <pic:cNvPicPr>
                      <a:picLocks noChangeAspect="1" noChangeArrowheads="1"/>
                    </pic:cNvPicPr>
                  </pic:nvPicPr>
                  <pic:blipFill>
                    <a:blip r:embed="rId19" cstate="print"/>
                    <a:srcRect/>
                    <a:stretch>
                      <a:fillRect/>
                    </a:stretch>
                  </pic:blipFill>
                  <pic:spPr>
                    <a:xfrm>
                      <a:off x="0" y="0"/>
                      <a:ext cx="2541905" cy="1693545"/>
                    </a:xfrm>
                    <a:prstGeom prst="rect">
                      <a:avLst/>
                    </a:prstGeom>
                    <a:noFill/>
                  </pic:spPr>
                </pic:pic>
              </a:graphicData>
            </a:graphic>
          </wp:inline>
        </w:drawing>
      </w:r>
    </w:p>
    <w:p>
      <w:pPr>
        <w:jc w:val="center"/>
        <w:rPr>
          <w:rFonts w:ascii="楷体" w:hAnsi="楷体" w:eastAsia="楷体" w:cs="楷体"/>
        </w:rPr>
      </w:pPr>
      <w:r>
        <w:rPr>
          <w:rFonts w:hint="eastAsia" w:ascii="楷体" w:hAnsi="楷体" w:eastAsia="楷体" w:cs="楷体"/>
        </w:rPr>
        <w:t>图为志愿者参加邵阳市“创卫”和“助力精准扶贫，爱洒城步苗乡”公益活动</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ascii="仿宋_GB2312" w:eastAsia="仿宋_GB2312"/>
          <w:sz w:val="28"/>
          <w:szCs w:val="28"/>
        </w:rPr>
      </w:pPr>
      <w:r>
        <w:rPr>
          <w:rFonts w:hint="eastAsia" w:ascii="仿宋_GB2312" w:eastAsia="仿宋_GB2312"/>
          <w:sz w:val="28"/>
          <w:szCs w:val="28"/>
        </w:rPr>
        <w:t>学生学习氛围更浓，积极参加各类竞赛并取得优异成绩；干事创业的热情更高，学生就业率逐年递增并深受用人单位好评；文明习惯养成更好，讲文明讲卫生，自觉参加文明寝室创建活动。</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ascii="仿宋_GB2312" w:eastAsia="仿宋_GB2312"/>
          <w:b/>
          <w:bCs/>
          <w:sz w:val="28"/>
          <w:szCs w:val="28"/>
        </w:rPr>
      </w:pPr>
      <w:r>
        <w:rPr>
          <w:rFonts w:hint="eastAsia" w:ascii="仿宋_GB2312" w:eastAsia="仿宋_GB2312"/>
          <w:b/>
          <w:bCs/>
          <w:sz w:val="28"/>
          <w:szCs w:val="28"/>
        </w:rPr>
        <w:t>（2）科学文化素质</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560" w:firstLineChars="200"/>
        <w:jc w:val="both"/>
        <w:textAlignment w:val="auto"/>
        <w:outlineLvl w:val="9"/>
        <w:rPr>
          <w:rFonts w:ascii="仿宋_GB2312" w:eastAsia="仿宋_GB2312"/>
          <w:sz w:val="28"/>
          <w:szCs w:val="28"/>
        </w:rPr>
      </w:pPr>
      <w:r>
        <w:rPr>
          <w:rFonts w:hint="eastAsia" w:ascii="仿宋_GB2312" w:eastAsia="仿宋_GB2312"/>
          <w:sz w:val="28"/>
          <w:szCs w:val="28"/>
        </w:rPr>
        <w:t xml:space="preserve">学院开设计算机应用、大学英语、应用文写作等文化基础必修课，总课时252节，占学生全部必修课时的14%；学院经常开展各类文化基础课知识竞赛，增强学生学习积极性。2017年科学文化素质课初次考核整体合格率达93.15%，2017届毕业生整体合格率达99%。    </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560" w:firstLineChars="200"/>
        <w:jc w:val="both"/>
        <w:textAlignment w:val="auto"/>
        <w:outlineLvl w:val="9"/>
        <w:rPr>
          <w:rFonts w:ascii="仿宋_GB2312" w:eastAsia="仿宋_GB2312"/>
          <w:sz w:val="28"/>
          <w:szCs w:val="28"/>
        </w:rPr>
      </w:pPr>
      <w:r>
        <w:rPr>
          <w:rFonts w:hint="eastAsia" w:ascii="仿宋_GB2312" w:eastAsia="仿宋_GB2312"/>
          <w:sz w:val="28"/>
          <w:szCs w:val="28"/>
        </w:rPr>
        <w:t>开设礼仪、普通话、演讲与口才、美术、文学欣赏等人文修养必修课程；与市</w:t>
      </w:r>
      <w:r>
        <w:rPr>
          <w:rFonts w:hint="eastAsia" w:ascii="仿宋_GB2312" w:eastAsia="仿宋_GB2312"/>
          <w:sz w:val="28"/>
          <w:szCs w:val="28"/>
          <w:lang w:eastAsia="zh-CN"/>
        </w:rPr>
        <w:t>演讲协会、</w:t>
      </w:r>
      <w:r>
        <w:rPr>
          <w:rFonts w:hint="eastAsia" w:ascii="仿宋_GB2312" w:eastAsia="仿宋_GB2312"/>
          <w:sz w:val="28"/>
          <w:szCs w:val="28"/>
        </w:rPr>
        <w:t>礼仪协会（会址设在我院）合作，开展各类礼仪培训、讲座等活动，使学生整体文明礼貌素养，语言表达能力有较大提高。</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560" w:firstLineChars="200"/>
        <w:jc w:val="both"/>
        <w:textAlignment w:val="auto"/>
        <w:outlineLvl w:val="9"/>
        <w:rPr>
          <w:rFonts w:ascii="仿宋_GB2312" w:eastAsia="仿宋_GB2312"/>
          <w:sz w:val="28"/>
          <w:szCs w:val="28"/>
        </w:rPr>
      </w:pPr>
      <w:r>
        <w:rPr>
          <w:rFonts w:hint="eastAsia" w:ascii="仿宋_GB2312" w:eastAsia="仿宋_GB2312"/>
          <w:sz w:val="28"/>
          <w:szCs w:val="28"/>
        </w:rPr>
        <w:t>学生对传统文化有一定兴趣。学院通过开设书法、剪纸等传统文化选修课程，举行国学经典诵读活动，</w:t>
      </w:r>
      <w:r>
        <w:rPr>
          <w:rFonts w:hint="eastAsia" w:ascii="仿宋_GB2312" w:eastAsia="仿宋_GB2312"/>
          <w:sz w:val="28"/>
          <w:szCs w:val="28"/>
          <w:lang w:eastAsia="zh-CN"/>
        </w:rPr>
        <w:t>举办首届中华经典诗文</w:t>
      </w:r>
      <w:r>
        <w:rPr>
          <w:rFonts w:hint="eastAsia" w:ascii="仿宋_GB2312" w:eastAsia="仿宋_GB2312"/>
          <w:sz w:val="28"/>
          <w:szCs w:val="28"/>
        </w:rPr>
        <w:t>诵读</w:t>
      </w:r>
      <w:r>
        <w:rPr>
          <w:rFonts w:hint="eastAsia" w:ascii="仿宋_GB2312" w:eastAsia="仿宋_GB2312"/>
          <w:sz w:val="28"/>
          <w:szCs w:val="28"/>
          <w:lang w:eastAsia="zh-CN"/>
        </w:rPr>
        <w:t>大赛，</w:t>
      </w:r>
      <w:r>
        <w:rPr>
          <w:rFonts w:hint="eastAsia" w:ascii="仿宋_GB2312" w:eastAsia="仿宋_GB2312"/>
          <w:sz w:val="28"/>
          <w:szCs w:val="28"/>
        </w:rPr>
        <w:t>培养传统文化兴趣。连续三年举办西藏文化节，使广大汉族学生增进了对藏族文化的了解，增强了民族团结，促进了校园和谐稳定。</w:t>
      </w:r>
    </w:p>
    <w:p>
      <w:pPr>
        <w:spacing w:line="480" w:lineRule="exact"/>
        <w:ind w:firstLine="482" w:firstLineChars="200"/>
        <w:jc w:val="center"/>
        <w:rPr>
          <w:rFonts w:ascii="仿宋_GB2312" w:eastAsia="仿宋_GB2312"/>
          <w:sz w:val="32"/>
          <w:szCs w:val="32"/>
        </w:rPr>
      </w:pPr>
      <w:r>
        <w:rPr>
          <w:rFonts w:hint="eastAsia" w:ascii="Times New Roman" w:hAnsi="Times New Roman" w:eastAsia="仿宋_GB2312"/>
          <w:b/>
          <w:sz w:val="24"/>
        </w:rPr>
        <w:t>表2</w:t>
      </w:r>
      <w:r>
        <w:rPr>
          <w:rFonts w:ascii="Times New Roman" w:hAnsi="Times New Roman" w:eastAsia="仿宋_GB2312"/>
          <w:b/>
          <w:sz w:val="24"/>
        </w:rPr>
        <w:t>-</w:t>
      </w:r>
      <w:r>
        <w:rPr>
          <w:rFonts w:hint="eastAsia" w:ascii="Times New Roman" w:hAnsi="Times New Roman" w:eastAsia="仿宋_GB2312"/>
          <w:b/>
          <w:sz w:val="24"/>
          <w:lang w:val="en-US" w:eastAsia="zh-CN"/>
        </w:rPr>
        <w:t>2</w:t>
      </w:r>
      <w:r>
        <w:rPr>
          <w:rFonts w:ascii="Times New Roman" w:hAnsi="Times New Roman" w:eastAsia="仿宋_GB2312"/>
          <w:b/>
          <w:sz w:val="24"/>
        </w:rPr>
        <w:t xml:space="preserve">   </w:t>
      </w:r>
      <w:r>
        <w:rPr>
          <w:rFonts w:hint="eastAsia" w:ascii="Times New Roman" w:hAnsi="Times New Roman" w:eastAsia="仿宋_GB2312"/>
          <w:b/>
          <w:sz w:val="24"/>
        </w:rPr>
        <w:t>2016—2017年科学文化素质课程合格率（初次）</w:t>
      </w:r>
    </w:p>
    <w:tbl>
      <w:tblPr>
        <w:tblStyle w:val="8"/>
        <w:tblW w:w="8490" w:type="dxa"/>
        <w:jc w:val="center"/>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5"/>
        <w:gridCol w:w="3405"/>
        <w:gridCol w:w="1380"/>
        <w:gridCol w:w="1470"/>
        <w:gridCol w:w="14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65"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序号</w:t>
            </w:r>
          </w:p>
        </w:tc>
        <w:tc>
          <w:tcPr>
            <w:tcW w:w="3405"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课  程</w:t>
            </w:r>
          </w:p>
        </w:tc>
        <w:tc>
          <w:tcPr>
            <w:tcW w:w="1380"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2016年</w:t>
            </w:r>
          </w:p>
        </w:tc>
        <w:tc>
          <w:tcPr>
            <w:tcW w:w="1470"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2017年</w:t>
            </w:r>
          </w:p>
        </w:tc>
        <w:tc>
          <w:tcPr>
            <w:tcW w:w="1470"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变化率（%）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65"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1</w:t>
            </w:r>
          </w:p>
        </w:tc>
        <w:tc>
          <w:tcPr>
            <w:tcW w:w="3405"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应用文写作</w:t>
            </w:r>
            <w:r>
              <w:rPr>
                <w:rFonts w:hint="eastAsia" w:ascii="Times New Roman" w:hAnsi="Times New Roman" w:eastAsia="仿宋_GB2312"/>
                <w:sz w:val="21"/>
                <w:szCs w:val="21"/>
                <w:lang w:eastAsia="zh-CN"/>
              </w:rPr>
              <w:t>（</w:t>
            </w:r>
            <w:r>
              <w:rPr>
                <w:rFonts w:hint="eastAsia" w:ascii="Times New Roman" w:hAnsi="Times New Roman" w:eastAsia="仿宋_GB2312"/>
                <w:sz w:val="21"/>
                <w:szCs w:val="21"/>
                <w:lang w:val="en-US" w:eastAsia="zh-CN"/>
              </w:rPr>
              <w:t>%）</w:t>
            </w:r>
          </w:p>
        </w:tc>
        <w:tc>
          <w:tcPr>
            <w:tcW w:w="1380" w:type="dxa"/>
            <w:tcBorders>
              <w:tl2br w:val="nil"/>
              <w:tr2bl w:val="nil"/>
            </w:tcBorders>
            <w:shd w:val="clear" w:color="auto" w:fill="auto"/>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87.93</w:t>
            </w:r>
          </w:p>
        </w:tc>
        <w:tc>
          <w:tcPr>
            <w:tcW w:w="147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84.87</w:t>
            </w:r>
          </w:p>
        </w:tc>
        <w:tc>
          <w:tcPr>
            <w:tcW w:w="147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-3.</w:t>
            </w:r>
            <w:r>
              <w:rPr>
                <w:rFonts w:hint="eastAsia" w:ascii="Times New Roman" w:hAnsi="Times New Roman" w:eastAsia="仿宋_GB2312"/>
                <w:sz w:val="21"/>
                <w:szCs w:val="21"/>
                <w:lang w:val="en-US" w:eastAsia="zh-CN"/>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65"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2</w:t>
            </w:r>
          </w:p>
        </w:tc>
        <w:tc>
          <w:tcPr>
            <w:tcW w:w="3405"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高等数学</w:t>
            </w:r>
            <w:r>
              <w:rPr>
                <w:rFonts w:hint="eastAsia" w:ascii="Times New Roman" w:hAnsi="Times New Roman" w:eastAsia="仿宋_GB2312"/>
                <w:sz w:val="21"/>
                <w:szCs w:val="21"/>
                <w:lang w:eastAsia="zh-CN"/>
              </w:rPr>
              <w:t>（</w:t>
            </w:r>
            <w:r>
              <w:rPr>
                <w:rFonts w:hint="eastAsia" w:ascii="Times New Roman" w:hAnsi="Times New Roman" w:eastAsia="仿宋_GB2312"/>
                <w:sz w:val="21"/>
                <w:szCs w:val="21"/>
                <w:lang w:val="en-US" w:eastAsia="zh-CN"/>
              </w:rPr>
              <w:t>%）</w:t>
            </w:r>
          </w:p>
        </w:tc>
        <w:tc>
          <w:tcPr>
            <w:tcW w:w="1380" w:type="dxa"/>
            <w:tcBorders>
              <w:tl2br w:val="nil"/>
              <w:tr2bl w:val="nil"/>
            </w:tcBorders>
            <w:shd w:val="clear" w:color="auto" w:fill="auto"/>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92.78</w:t>
            </w:r>
          </w:p>
        </w:tc>
        <w:tc>
          <w:tcPr>
            <w:tcW w:w="147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86.54</w:t>
            </w:r>
          </w:p>
        </w:tc>
        <w:tc>
          <w:tcPr>
            <w:tcW w:w="147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-6.24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65"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3</w:t>
            </w:r>
          </w:p>
        </w:tc>
        <w:tc>
          <w:tcPr>
            <w:tcW w:w="3405"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大学英语</w:t>
            </w:r>
            <w:r>
              <w:rPr>
                <w:rFonts w:hint="eastAsia" w:ascii="Times New Roman" w:hAnsi="Times New Roman" w:eastAsia="仿宋_GB2312"/>
                <w:sz w:val="21"/>
                <w:szCs w:val="21"/>
                <w:lang w:eastAsia="zh-CN"/>
              </w:rPr>
              <w:t>（</w:t>
            </w:r>
            <w:r>
              <w:rPr>
                <w:rFonts w:hint="eastAsia" w:ascii="Times New Roman" w:hAnsi="Times New Roman" w:eastAsia="仿宋_GB2312"/>
                <w:sz w:val="21"/>
                <w:szCs w:val="21"/>
                <w:lang w:val="en-US" w:eastAsia="zh-CN"/>
              </w:rPr>
              <w:t>%）</w:t>
            </w:r>
          </w:p>
        </w:tc>
        <w:tc>
          <w:tcPr>
            <w:tcW w:w="1380" w:type="dxa"/>
            <w:tcBorders>
              <w:tl2br w:val="nil"/>
              <w:tr2bl w:val="nil"/>
            </w:tcBorders>
            <w:shd w:val="clear" w:color="auto" w:fill="auto"/>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90.67</w:t>
            </w:r>
          </w:p>
        </w:tc>
        <w:tc>
          <w:tcPr>
            <w:tcW w:w="147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92.82</w:t>
            </w:r>
          </w:p>
        </w:tc>
        <w:tc>
          <w:tcPr>
            <w:tcW w:w="147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2.</w:t>
            </w:r>
            <w:r>
              <w:rPr>
                <w:rFonts w:hint="eastAsia" w:ascii="Times New Roman" w:hAnsi="Times New Roman" w:eastAsia="仿宋_GB2312"/>
                <w:sz w:val="21"/>
                <w:szCs w:val="21"/>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765"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4</w:t>
            </w:r>
          </w:p>
        </w:tc>
        <w:tc>
          <w:tcPr>
            <w:tcW w:w="3405"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计算机应用</w:t>
            </w:r>
            <w:r>
              <w:rPr>
                <w:rFonts w:hint="eastAsia" w:ascii="Times New Roman" w:hAnsi="Times New Roman" w:eastAsia="仿宋_GB2312"/>
                <w:sz w:val="21"/>
                <w:szCs w:val="21"/>
                <w:lang w:eastAsia="zh-CN"/>
              </w:rPr>
              <w:t>（</w:t>
            </w:r>
            <w:r>
              <w:rPr>
                <w:rFonts w:hint="eastAsia" w:ascii="Times New Roman" w:hAnsi="Times New Roman" w:eastAsia="仿宋_GB2312"/>
                <w:sz w:val="21"/>
                <w:szCs w:val="21"/>
                <w:lang w:val="en-US" w:eastAsia="zh-CN"/>
              </w:rPr>
              <w:t>%）</w:t>
            </w:r>
          </w:p>
        </w:tc>
        <w:tc>
          <w:tcPr>
            <w:tcW w:w="1380" w:type="dxa"/>
            <w:tcBorders>
              <w:tl2br w:val="nil"/>
              <w:tr2bl w:val="nil"/>
            </w:tcBorders>
            <w:shd w:val="clear" w:color="auto" w:fill="auto"/>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95.37</w:t>
            </w:r>
          </w:p>
        </w:tc>
        <w:tc>
          <w:tcPr>
            <w:tcW w:w="147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94.68</w:t>
            </w:r>
          </w:p>
        </w:tc>
        <w:tc>
          <w:tcPr>
            <w:tcW w:w="147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-0.</w:t>
            </w:r>
            <w:r>
              <w:rPr>
                <w:rFonts w:hint="eastAsia" w:ascii="Times New Roman" w:hAnsi="Times New Roman" w:eastAsia="仿宋_GB2312"/>
                <w:sz w:val="21"/>
                <w:szCs w:val="21"/>
                <w:lang w:val="en-US" w:eastAsia="zh-CN"/>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65"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5</w:t>
            </w:r>
          </w:p>
        </w:tc>
        <w:tc>
          <w:tcPr>
            <w:tcW w:w="3405"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礼仪</w:t>
            </w:r>
            <w:r>
              <w:rPr>
                <w:rFonts w:hint="eastAsia" w:ascii="Times New Roman" w:hAnsi="Times New Roman" w:eastAsia="仿宋_GB2312"/>
                <w:sz w:val="21"/>
                <w:szCs w:val="21"/>
                <w:lang w:eastAsia="zh-CN"/>
              </w:rPr>
              <w:t>（</w:t>
            </w:r>
            <w:r>
              <w:rPr>
                <w:rFonts w:hint="eastAsia" w:ascii="Times New Roman" w:hAnsi="Times New Roman" w:eastAsia="仿宋_GB2312"/>
                <w:sz w:val="21"/>
                <w:szCs w:val="21"/>
                <w:lang w:val="en-US" w:eastAsia="zh-CN"/>
              </w:rPr>
              <w:t>%）</w:t>
            </w:r>
          </w:p>
        </w:tc>
        <w:tc>
          <w:tcPr>
            <w:tcW w:w="1380" w:type="dxa"/>
            <w:tcBorders>
              <w:tl2br w:val="nil"/>
              <w:tr2bl w:val="nil"/>
            </w:tcBorders>
            <w:shd w:val="clear" w:color="auto" w:fill="auto"/>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100</w:t>
            </w:r>
          </w:p>
        </w:tc>
        <w:tc>
          <w:tcPr>
            <w:tcW w:w="147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100</w:t>
            </w:r>
          </w:p>
        </w:tc>
        <w:tc>
          <w:tcPr>
            <w:tcW w:w="147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65"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6</w:t>
            </w:r>
          </w:p>
        </w:tc>
        <w:tc>
          <w:tcPr>
            <w:tcW w:w="3405"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普通话</w:t>
            </w:r>
            <w:r>
              <w:rPr>
                <w:rFonts w:hint="eastAsia" w:ascii="Times New Roman" w:hAnsi="Times New Roman" w:eastAsia="仿宋_GB2312"/>
                <w:sz w:val="21"/>
                <w:szCs w:val="21"/>
                <w:lang w:eastAsia="zh-CN"/>
              </w:rPr>
              <w:t>（</w:t>
            </w:r>
            <w:r>
              <w:rPr>
                <w:rFonts w:hint="eastAsia" w:ascii="Times New Roman" w:hAnsi="Times New Roman" w:eastAsia="仿宋_GB2312"/>
                <w:sz w:val="21"/>
                <w:szCs w:val="21"/>
                <w:lang w:val="en-US" w:eastAsia="zh-CN"/>
              </w:rPr>
              <w:t>%）</w:t>
            </w:r>
          </w:p>
        </w:tc>
        <w:tc>
          <w:tcPr>
            <w:tcW w:w="1380" w:type="dxa"/>
            <w:tcBorders>
              <w:tl2br w:val="nil"/>
              <w:tr2bl w:val="nil"/>
            </w:tcBorders>
            <w:shd w:val="clear" w:color="auto" w:fill="auto"/>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100</w:t>
            </w:r>
          </w:p>
        </w:tc>
        <w:tc>
          <w:tcPr>
            <w:tcW w:w="147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100</w:t>
            </w:r>
          </w:p>
        </w:tc>
        <w:tc>
          <w:tcPr>
            <w:tcW w:w="1470" w:type="dxa"/>
            <w:tcBorders>
              <w:tl2br w:val="nil"/>
              <w:tr2bl w:val="nil"/>
            </w:tcBorders>
            <w:shd w:val="clear" w:color="auto" w:fill="FFFFFF"/>
            <w:vAlign w:val="center"/>
          </w:tcPr>
          <w:p>
            <w:pPr>
              <w:jc w:val="center"/>
              <w:rPr>
                <w:rFonts w:ascii="Times New Roman" w:hAnsi="Times New Roman" w:eastAsia="仿宋_GB2312"/>
                <w:sz w:val="21"/>
                <w:szCs w:val="21"/>
              </w:rPr>
            </w:pPr>
            <w:r>
              <w:rPr>
                <w:rFonts w:hint="eastAsia" w:ascii="Times New Roman" w:hAnsi="Times New Roman" w:eastAsia="仿宋_GB2312"/>
                <w:sz w:val="21"/>
                <w:szCs w:val="21"/>
              </w:rPr>
              <w:t>0</w:t>
            </w:r>
          </w:p>
        </w:tc>
      </w:tr>
    </w:tbl>
    <w:p>
      <w:pPr>
        <w:jc w:val="center"/>
        <w:rPr>
          <w:rFonts w:ascii="仿宋_GB2312" w:eastAsia="仿宋_GB2312"/>
          <w:sz w:val="32"/>
          <w:szCs w:val="32"/>
        </w:rPr>
      </w:pPr>
      <w:r>
        <w:rPr>
          <w:rFonts w:hint="eastAsia" w:ascii="Times New Roman" w:hAnsi="Times New Roman" w:eastAsia="楷体_GB2312"/>
        </w:rPr>
        <w:t>数据来源：教务处教务管理系统</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560" w:firstLineChars="200"/>
        <w:jc w:val="both"/>
        <w:textAlignment w:val="auto"/>
        <w:outlineLvl w:val="9"/>
        <w:rPr>
          <w:rFonts w:ascii="仿宋_GB2312" w:eastAsia="仿宋_GB2312"/>
          <w:sz w:val="28"/>
          <w:szCs w:val="28"/>
        </w:rPr>
      </w:pPr>
      <w:r>
        <w:rPr>
          <w:rFonts w:hint="eastAsia" w:ascii="仿宋_GB2312" w:eastAsia="仿宋_GB2312"/>
          <w:sz w:val="28"/>
          <w:szCs w:val="28"/>
        </w:rPr>
        <w:t>学生普遍喜爱文艺活动，参与度高。学院通过举办校园文化艺术节、校运会文艺表演、元旦文艺汇演、迎新晚会、毕业生联欢晚会和开展文艺社团活动等形式，提升学生的文艺素养，2017年学生参与院级文艺活动3000人次。2017年校运会开幕式文艺表演共2000人参加。</w:t>
      </w:r>
    </w:p>
    <w:p>
      <w:pPr>
        <w:jc w:val="center"/>
      </w:pPr>
      <w:r>
        <w:drawing>
          <wp:inline distT="0" distB="0" distL="114300" distR="114300">
            <wp:extent cx="2439035" cy="1616075"/>
            <wp:effectExtent l="0" t="0" r="18415" b="3175"/>
            <wp:docPr id="142339" name="Picture 3" descr="C:\Users\Administrator\20161230152102_8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9" name="Picture 3" descr="C:\Users\Administrator\20161230152102_8750.jpg"/>
                    <pic:cNvPicPr>
                      <a:picLocks noChangeAspect="1" noChangeArrowheads="1"/>
                    </pic:cNvPicPr>
                  </pic:nvPicPr>
                  <pic:blipFill>
                    <a:blip r:embed="rId20" cstate="print"/>
                    <a:srcRect/>
                    <a:stretch>
                      <a:fillRect/>
                    </a:stretch>
                  </pic:blipFill>
                  <pic:spPr>
                    <a:xfrm>
                      <a:off x="0" y="0"/>
                      <a:ext cx="2439035" cy="1616075"/>
                    </a:xfrm>
                    <a:prstGeom prst="rect">
                      <a:avLst/>
                    </a:prstGeom>
                    <a:noFill/>
                  </pic:spPr>
                </pic:pic>
              </a:graphicData>
            </a:graphic>
          </wp:inline>
        </w:drawing>
      </w:r>
      <w:r>
        <w:drawing>
          <wp:inline distT="0" distB="0" distL="114300" distR="114300">
            <wp:extent cx="2363470" cy="1612265"/>
            <wp:effectExtent l="0" t="0" r="17780" b="6985"/>
            <wp:docPr id="142340" name="Picture 4" descr="C:\Users\Administrator\20161230152208_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0" name="Picture 4" descr="C:\Users\Administrator\20161230152208_4218.jpg"/>
                    <pic:cNvPicPr>
                      <a:picLocks noChangeAspect="1" noChangeArrowheads="1"/>
                    </pic:cNvPicPr>
                  </pic:nvPicPr>
                  <pic:blipFill>
                    <a:blip r:embed="rId21" cstate="print"/>
                    <a:srcRect/>
                    <a:stretch>
                      <a:fillRect/>
                    </a:stretch>
                  </pic:blipFill>
                  <pic:spPr>
                    <a:xfrm>
                      <a:off x="0" y="0"/>
                      <a:ext cx="2363470" cy="1612265"/>
                    </a:xfrm>
                    <a:prstGeom prst="rect">
                      <a:avLst/>
                    </a:prstGeom>
                    <a:noFill/>
                  </pic:spPr>
                </pic:pic>
              </a:graphicData>
            </a:graphic>
          </wp:inline>
        </w:drawing>
      </w:r>
    </w:p>
    <w:p>
      <w:pPr>
        <w:jc w:val="center"/>
        <w:rPr>
          <w:rFonts w:ascii="楷体" w:hAnsi="楷体" w:eastAsia="楷体" w:cs="楷体"/>
        </w:rPr>
      </w:pPr>
      <w:r>
        <w:rPr>
          <w:rFonts w:hint="eastAsia" w:ascii="楷体" w:hAnsi="楷体" w:eastAsia="楷体" w:cs="楷体"/>
        </w:rPr>
        <w:t>图为2017年元旦文艺晚会</w:t>
      </w:r>
    </w:p>
    <w:p>
      <w:pPr>
        <w:jc w:val="center"/>
        <w:rPr>
          <w:rFonts w:ascii="宋体" w:hAnsi="宋体" w:eastAsia="宋体" w:cs="宋体"/>
          <w:sz w:val="24"/>
          <w:szCs w:val="24"/>
        </w:rPr>
      </w:pPr>
    </w:p>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386330" cy="1590040"/>
            <wp:effectExtent l="0" t="0" r="13970" b="10160"/>
            <wp:docPr id="2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IMG_256"/>
                    <pic:cNvPicPr>
                      <a:picLocks noChangeAspect="1"/>
                    </pic:cNvPicPr>
                  </pic:nvPicPr>
                  <pic:blipFill>
                    <a:blip r:embed="rId22"/>
                    <a:stretch>
                      <a:fillRect/>
                    </a:stretch>
                  </pic:blipFill>
                  <pic:spPr>
                    <a:xfrm>
                      <a:off x="0" y="0"/>
                      <a:ext cx="2386330" cy="159004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395855" cy="1597025"/>
            <wp:effectExtent l="0" t="0" r="4445" b="3175"/>
            <wp:docPr id="2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IMG_256"/>
                    <pic:cNvPicPr>
                      <a:picLocks noChangeAspect="1"/>
                    </pic:cNvPicPr>
                  </pic:nvPicPr>
                  <pic:blipFill>
                    <a:blip r:embed="rId23"/>
                    <a:stretch>
                      <a:fillRect/>
                    </a:stretch>
                  </pic:blipFill>
                  <pic:spPr>
                    <a:xfrm>
                      <a:off x="0" y="0"/>
                      <a:ext cx="2395855" cy="1597025"/>
                    </a:xfrm>
                    <a:prstGeom prst="rect">
                      <a:avLst/>
                    </a:prstGeom>
                    <a:noFill/>
                    <a:ln w="9525">
                      <a:noFill/>
                    </a:ln>
                  </pic:spPr>
                </pic:pic>
              </a:graphicData>
            </a:graphic>
          </wp:inline>
        </w:drawing>
      </w:r>
    </w:p>
    <w:p>
      <w:pPr>
        <w:jc w:val="center"/>
        <w:rPr>
          <w:rFonts w:ascii="楷体" w:hAnsi="楷体" w:eastAsia="楷体" w:cs="楷体"/>
        </w:rPr>
      </w:pPr>
      <w:r>
        <w:rPr>
          <w:rFonts w:hint="eastAsia" w:ascii="楷体" w:hAnsi="楷体" w:eastAsia="楷体" w:cs="楷体"/>
        </w:rPr>
        <w:t>图为今年第九届校运会学生表演</w:t>
      </w:r>
    </w:p>
    <w:p>
      <w:pPr>
        <w:spacing w:line="520" w:lineRule="exact"/>
        <w:ind w:firstLine="560" w:firstLineChars="200"/>
        <w:rPr>
          <w:rFonts w:ascii="仿宋_GB2312" w:eastAsia="仿宋_GB2312"/>
          <w:sz w:val="28"/>
          <w:szCs w:val="28"/>
        </w:rPr>
      </w:pPr>
      <w:r>
        <w:rPr>
          <w:rFonts w:hint="eastAsia" w:ascii="仿宋_GB2312" w:eastAsia="仿宋_GB2312"/>
          <w:sz w:val="28"/>
          <w:szCs w:val="28"/>
        </w:rPr>
        <w:t>学生课外阅读以新媒体为主，特别是移动互联媒体</w:t>
      </w:r>
      <w:r>
        <w:rPr>
          <w:rFonts w:hint="eastAsia" w:ascii="仿宋_GB2312" w:eastAsia="仿宋_GB2312"/>
          <w:sz w:val="28"/>
          <w:szCs w:val="28"/>
          <w:lang w:eastAsia="zh-CN"/>
        </w:rPr>
        <w:t>、</w:t>
      </w:r>
      <w:bookmarkStart w:id="272" w:name="_GoBack"/>
      <w:bookmarkEnd w:id="272"/>
      <w:r>
        <w:rPr>
          <w:rFonts w:hint="eastAsia" w:ascii="仿宋_GB2312" w:eastAsia="仿宋_GB2312"/>
          <w:sz w:val="28"/>
          <w:szCs w:val="28"/>
          <w:lang w:eastAsia="zh-CN"/>
        </w:rPr>
        <w:t>电子阅读机的阅读量持续增加</w:t>
      </w:r>
      <w:r>
        <w:rPr>
          <w:rFonts w:hint="eastAsia" w:ascii="仿宋_GB2312" w:eastAsia="仿宋_GB2312"/>
          <w:sz w:val="28"/>
          <w:szCs w:val="28"/>
        </w:rPr>
        <w:t>。2017年学生借阅纸质图书46186册，人均6.76册。为培养学生阅读兴趣，学院近几年每年开展读书月活动，今年参与者3000余人。</w:t>
      </w:r>
    </w:p>
    <w:p>
      <w:pPr>
        <w:pStyle w:val="6"/>
        <w:widowControl/>
        <w:spacing w:beforeAutospacing="0" w:afterAutospacing="0"/>
        <w:jc w:val="both"/>
        <w:rPr>
          <w:rFonts w:ascii="楷体" w:hAnsi="楷体" w:eastAsia="楷体" w:cs="楷体"/>
          <w:b/>
          <w:bCs/>
          <w:sz w:val="28"/>
          <w:szCs w:val="28"/>
          <w:lang w:bidi="ar"/>
        </w:rPr>
      </w:pPr>
      <w:r>
        <w:rPr>
          <w:rFonts w:hint="eastAsia" w:ascii="楷体" w:hAnsi="楷体" w:eastAsia="楷体" w:cs="楷体"/>
          <w:b/>
          <w:bCs/>
          <w:sz w:val="28"/>
          <w:szCs w:val="28"/>
          <w:lang w:bidi="ar"/>
        </w:rPr>
        <w:t>案例1：</w:t>
      </w:r>
    </w:p>
    <w:p>
      <w:pPr>
        <w:pStyle w:val="6"/>
        <w:widowControl/>
        <w:spacing w:beforeAutospacing="0" w:afterAutospacing="0" w:line="400" w:lineRule="exact"/>
        <w:jc w:val="center"/>
        <w:rPr>
          <w:rFonts w:ascii="楷体" w:hAnsi="楷体" w:eastAsia="楷体" w:cs="楷体"/>
          <w:b/>
          <w:bCs/>
          <w:szCs w:val="24"/>
        </w:rPr>
      </w:pPr>
      <w:r>
        <w:rPr>
          <w:rFonts w:hint="eastAsia" w:ascii="楷体" w:hAnsi="楷体" w:eastAsia="楷体" w:cs="楷体"/>
          <w:b/>
          <w:bCs/>
          <w:szCs w:val="24"/>
          <w:lang w:bidi="ar"/>
        </w:rPr>
        <w:t>“你选书、我买单”读者推荐购书活动</w:t>
      </w:r>
    </w:p>
    <w:p>
      <w:pPr>
        <w:pStyle w:val="6"/>
        <w:widowControl/>
        <w:spacing w:beforeAutospacing="0" w:afterAutospacing="0" w:line="400" w:lineRule="exact"/>
        <w:ind w:firstLine="480" w:firstLineChars="200"/>
        <w:rPr>
          <w:rFonts w:ascii="楷体" w:hAnsi="楷体" w:eastAsia="楷体" w:cs="楷体"/>
          <w:color w:val="000000"/>
          <w:szCs w:val="24"/>
        </w:rPr>
      </w:pPr>
      <w:r>
        <w:rPr>
          <w:rFonts w:hint="eastAsia" w:ascii="楷体" w:hAnsi="楷体" w:eastAsia="楷体" w:cs="楷体"/>
          <w:color w:val="000000"/>
          <w:szCs w:val="24"/>
        </w:rPr>
        <w:t>为进一步丰富图书馆的馆藏资源，提高图书利用率，引导广大师生多读书、读好书，在全院掀起一股读书热潮，促进学校内涵发展，创建书香校园。4月26日至28日，我院与市新华书店联合开展了为期三天的“你选书、我买单”读者推荐购书活动。</w:t>
      </w:r>
    </w:p>
    <w:p>
      <w:pPr>
        <w:pStyle w:val="6"/>
        <w:widowControl/>
        <w:spacing w:beforeAutospacing="0" w:afterAutospacing="0" w:line="400" w:lineRule="exact"/>
        <w:ind w:firstLine="480" w:firstLineChars="200"/>
        <w:rPr>
          <w:rFonts w:hint="eastAsia" w:ascii="楷体" w:hAnsi="楷体" w:eastAsia="楷体" w:cs="楷体"/>
          <w:color w:val="000000"/>
          <w:szCs w:val="24"/>
          <w:shd w:val="clear" w:color="auto" w:fill="FFFFFF"/>
        </w:rPr>
      </w:pPr>
      <w:r>
        <w:rPr>
          <w:rFonts w:hint="eastAsia" w:ascii="楷体" w:hAnsi="楷体" w:eastAsia="楷体" w:cs="楷体"/>
          <w:color w:val="000000"/>
          <w:szCs w:val="24"/>
          <w:shd w:val="clear" w:color="auto" w:fill="FFFFFF"/>
        </w:rPr>
        <w:t>活动期间，来自不同系（院、部）、不同专业的3000多名师生积极参加推荐购书活动，900多人当场选购借阅图书3000多册。活动现场，师生热情高涨,气氛非常热烈。</w:t>
      </w:r>
    </w:p>
    <w:p>
      <w:pPr>
        <w:spacing w:line="400" w:lineRule="exact"/>
        <w:ind w:firstLine="480" w:firstLineChars="200"/>
        <w:rPr>
          <w:rFonts w:ascii="仿宋_GB2312" w:eastAsia="仿宋_GB2312"/>
          <w:b/>
          <w:bCs/>
          <w:sz w:val="24"/>
          <w:szCs w:val="24"/>
        </w:rPr>
      </w:pPr>
      <w:r>
        <w:rPr>
          <w:rFonts w:hint="eastAsia" w:ascii="楷体" w:hAnsi="楷体" w:eastAsia="楷体" w:cs="楷体"/>
          <w:color w:val="000000"/>
          <w:sz w:val="24"/>
          <w:szCs w:val="24"/>
        </w:rPr>
        <w:t>副院长周平表示，举办此次活动，旨在以“世界读书日”为契机，让更多的师生参与到图书馆资源建设中，使图书馆馆藏资源更合理、更专业、更实用。他表示，今后学校将继续开展此类活动，以适应广大师生对馆藏资源的信息需求，进一步提升馆藏资源质量，为师生提供更加优质的图书馆资源及服务。</w:t>
      </w:r>
    </w:p>
    <w:p>
      <w:pPr>
        <w:pStyle w:val="6"/>
        <w:widowControl/>
        <w:spacing w:beforeAutospacing="0" w:afterAutospacing="0" w:line="400" w:lineRule="exact"/>
        <w:ind w:firstLine="480" w:firstLineChars="200"/>
        <w:rPr>
          <w:rFonts w:hint="eastAsia" w:ascii="楷体" w:hAnsi="楷体" w:eastAsia="楷体" w:cs="楷体"/>
          <w:color w:val="000000"/>
          <w:szCs w:val="24"/>
          <w:shd w:val="clear" w:color="auto" w:fill="FFFFFF"/>
        </w:rPr>
      </w:pPr>
    </w:p>
    <w:p>
      <w:pPr>
        <w:jc w:val="center"/>
        <w:rPr>
          <w:rFonts w:hint="eastAsia" w:ascii="楷体" w:hAnsi="楷体" w:eastAsia="楷体" w:cs="楷体"/>
          <w:color w:val="000000"/>
          <w:sz w:val="28"/>
          <w:szCs w:val="28"/>
        </w:rPr>
      </w:pPr>
      <w:r>
        <w:rPr>
          <w:rFonts w:hint="eastAsia" w:ascii="楷体" w:hAnsi="楷体" w:eastAsia="楷体" w:cs="楷体"/>
          <w:color w:val="000000"/>
          <w:sz w:val="28"/>
          <w:szCs w:val="28"/>
        </w:rPr>
        <w:drawing>
          <wp:inline distT="0" distB="0" distL="114300" distR="114300">
            <wp:extent cx="4297680" cy="2865120"/>
            <wp:effectExtent l="0" t="0" r="7620" b="11430"/>
            <wp:docPr id="3" name="图片 3" descr="20170428155157_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70428155157_0625"/>
                    <pic:cNvPicPr>
                      <a:picLocks noChangeAspect="1"/>
                    </pic:cNvPicPr>
                  </pic:nvPicPr>
                  <pic:blipFill>
                    <a:blip r:embed="rId24"/>
                    <a:stretch>
                      <a:fillRect/>
                    </a:stretch>
                  </pic:blipFill>
                  <pic:spPr>
                    <a:xfrm>
                      <a:off x="0" y="0"/>
                      <a:ext cx="4297680" cy="2865120"/>
                    </a:xfrm>
                    <a:prstGeom prst="rect">
                      <a:avLst/>
                    </a:prstGeom>
                  </pic:spPr>
                </pic:pic>
              </a:graphicData>
            </a:graphic>
          </wp:inline>
        </w:drawing>
      </w:r>
    </w:p>
    <w:p>
      <w:pPr>
        <w:jc w:val="center"/>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eastAsia="zh-CN"/>
        </w:rPr>
        <w:t>图为学生正在选</w:t>
      </w:r>
      <w:r>
        <w:rPr>
          <w:rFonts w:hint="eastAsia" w:ascii="楷体" w:hAnsi="楷体" w:eastAsia="楷体" w:cs="楷体"/>
          <w:color w:val="000000"/>
          <w:sz w:val="21"/>
          <w:szCs w:val="21"/>
          <w:lang w:val="en-US" w:eastAsia="zh-CN"/>
        </w:rPr>
        <w:t>购图书</w:t>
      </w:r>
    </w:p>
    <w:p>
      <w:pPr>
        <w:spacing w:line="520" w:lineRule="exact"/>
        <w:ind w:firstLine="562" w:firstLineChars="200"/>
        <w:rPr>
          <w:rFonts w:ascii="仿宋_GB2312" w:eastAsia="仿宋_GB2312"/>
          <w:b/>
          <w:bCs/>
          <w:sz w:val="28"/>
          <w:szCs w:val="28"/>
        </w:rPr>
      </w:pPr>
      <w:r>
        <w:rPr>
          <w:rFonts w:hint="eastAsia" w:ascii="仿宋_GB2312" w:eastAsia="仿宋_GB2312"/>
          <w:b/>
          <w:bCs/>
          <w:sz w:val="28"/>
          <w:szCs w:val="28"/>
        </w:rPr>
        <w:t>（3）职业能力</w:t>
      </w:r>
    </w:p>
    <w:p>
      <w:pPr>
        <w:spacing w:line="520" w:lineRule="exact"/>
        <w:ind w:firstLine="560" w:firstLineChars="200"/>
        <w:rPr>
          <w:rFonts w:ascii="Times New Roman" w:hAnsi="Times New Roman" w:eastAsia="仿宋_GB2312"/>
          <w:sz w:val="28"/>
          <w:szCs w:val="28"/>
        </w:rPr>
      </w:pPr>
      <w:r>
        <w:rPr>
          <w:rFonts w:hint="eastAsia" w:ascii="仿宋_GB2312" w:eastAsia="仿宋_GB2312"/>
          <w:sz w:val="28"/>
          <w:szCs w:val="28"/>
        </w:rPr>
        <w:t>学生技能合格率大幅增长。学院自2010年起参加省教育厅组织的高职学生专业技能抽查，自2016年开始开展院级学生技能抽查，有力地推动了学生技能水平提高。2015-2017年的省抽查数据显示，我院高职学生专业技能抽查合格率年均增幅达8.89% ，2017年抽查的专业均获得优秀成绩，平均合格率达到95% ，其中省级精品专业模具设计与制造技能抽查合格率为100%。2015-2017年的省毕业设计抽查数据显示，2017年学生毕业设计平均成绩为90.7分，较2016年提高6.1分（见表2-4）。</w:t>
      </w:r>
    </w:p>
    <w:p>
      <w:pPr>
        <w:spacing w:line="400" w:lineRule="exact"/>
        <w:jc w:val="center"/>
        <w:rPr>
          <w:rFonts w:ascii="Times New Roman" w:hAnsi="Times New Roman" w:eastAsia="仿宋_GB2312"/>
          <w:b/>
          <w:bCs/>
          <w:sz w:val="24"/>
        </w:rPr>
      </w:pPr>
      <w:r>
        <w:rPr>
          <w:rFonts w:hint="eastAsia" w:ascii="Times New Roman" w:hAnsi="Times New Roman" w:eastAsia="仿宋_GB2312"/>
          <w:b/>
          <w:bCs/>
          <w:sz w:val="24"/>
        </w:rPr>
        <w:t>表2-</w:t>
      </w:r>
      <w:r>
        <w:rPr>
          <w:rFonts w:hint="eastAsia" w:ascii="Times New Roman" w:hAnsi="Times New Roman" w:eastAsia="仿宋_GB2312"/>
          <w:b/>
          <w:bCs/>
          <w:sz w:val="24"/>
          <w:lang w:val="en-US" w:eastAsia="zh-CN"/>
        </w:rPr>
        <w:t>3</w:t>
      </w:r>
      <w:r>
        <w:rPr>
          <w:rFonts w:hint="eastAsia" w:ascii="Times New Roman" w:hAnsi="Times New Roman" w:eastAsia="仿宋_GB2312"/>
          <w:b/>
          <w:bCs/>
          <w:sz w:val="24"/>
        </w:rPr>
        <w:t xml:space="preserve">  2015—2017年技能抽查与毕业设计情况表</w:t>
      </w:r>
    </w:p>
    <w:tbl>
      <w:tblPr>
        <w:tblStyle w:val="8"/>
        <w:tblW w:w="8007" w:type="dxa"/>
        <w:jc w:val="center"/>
        <w:tblInd w:w="-13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6"/>
        <w:gridCol w:w="2907"/>
        <w:gridCol w:w="1416"/>
        <w:gridCol w:w="1395"/>
        <w:gridCol w:w="13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896"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序号</w:t>
            </w:r>
          </w:p>
        </w:tc>
        <w:tc>
          <w:tcPr>
            <w:tcW w:w="2907" w:type="dxa"/>
            <w:tcBorders>
              <w:tl2br w:val="nil"/>
              <w:tr2bl w:val="nil"/>
            </w:tcBorders>
            <w:shd w:val="clear" w:color="auto" w:fill="FFFFFF"/>
            <w:vAlign w:val="center"/>
          </w:tcPr>
          <w:p>
            <w:pPr>
              <w:tabs>
                <w:tab w:val="center" w:pos="1654"/>
                <w:tab w:val="left" w:pos="2502"/>
              </w:tabs>
              <w:jc w:val="center"/>
              <w:rPr>
                <w:rFonts w:ascii="Times New Roman" w:hAnsi="Times New Roman" w:eastAsia="仿宋_GB2312"/>
                <w:b/>
                <w:bCs/>
              </w:rPr>
            </w:pPr>
            <w:r>
              <w:rPr>
                <w:rFonts w:hint="eastAsia" w:ascii="Times New Roman" w:hAnsi="Times New Roman" w:eastAsia="仿宋_GB2312"/>
                <w:b/>
                <w:bCs/>
              </w:rPr>
              <w:t>指  标</w:t>
            </w:r>
          </w:p>
        </w:tc>
        <w:tc>
          <w:tcPr>
            <w:tcW w:w="1416" w:type="dxa"/>
            <w:tcBorders>
              <w:tl2br w:val="nil"/>
              <w:tr2bl w:val="nil"/>
            </w:tcBorders>
            <w:shd w:val="clear" w:color="auto" w:fill="FFFFFF"/>
            <w:vAlign w:val="center"/>
          </w:tcPr>
          <w:p>
            <w:pPr>
              <w:tabs>
                <w:tab w:val="center" w:pos="1654"/>
                <w:tab w:val="left" w:pos="2502"/>
              </w:tabs>
              <w:ind w:firstLine="211" w:firstLineChars="100"/>
              <w:rPr>
                <w:rFonts w:ascii="Times New Roman" w:hAnsi="Times New Roman" w:eastAsia="仿宋_GB2312"/>
                <w:b/>
                <w:bCs/>
              </w:rPr>
            </w:pPr>
            <w:r>
              <w:rPr>
                <w:rFonts w:hint="eastAsia" w:ascii="Times New Roman" w:hAnsi="Times New Roman" w:eastAsia="仿宋_GB2312"/>
                <w:b/>
                <w:bCs/>
              </w:rPr>
              <w:t>2015年</w:t>
            </w:r>
            <w:r>
              <w:rPr>
                <w:rFonts w:hint="eastAsia" w:ascii="Times New Roman" w:hAnsi="Times New Roman" w:eastAsia="仿宋_GB2312"/>
                <w:b/>
                <w:bCs/>
              </w:rPr>
              <w:tab/>
            </w:r>
            <w:r>
              <w:rPr>
                <w:rFonts w:hint="eastAsia" w:ascii="Times New Roman" w:hAnsi="Times New Roman" w:eastAsia="仿宋_GB2312"/>
                <w:b/>
                <w:bCs/>
              </w:rPr>
              <w:t>2015年</w:t>
            </w:r>
          </w:p>
        </w:tc>
        <w:tc>
          <w:tcPr>
            <w:tcW w:w="1395" w:type="dxa"/>
            <w:tcBorders>
              <w:tl2br w:val="nil"/>
              <w:tr2bl w:val="nil"/>
            </w:tcBorders>
            <w:shd w:val="clear" w:color="auto" w:fill="FFFFFF"/>
            <w:vAlign w:val="center"/>
          </w:tcPr>
          <w:p>
            <w:pPr>
              <w:tabs>
                <w:tab w:val="center" w:pos="1654"/>
                <w:tab w:val="left" w:pos="2502"/>
              </w:tabs>
              <w:jc w:val="center"/>
              <w:rPr>
                <w:rFonts w:ascii="Times New Roman" w:hAnsi="Times New Roman" w:eastAsia="仿宋_GB2312"/>
                <w:b/>
                <w:bCs/>
              </w:rPr>
            </w:pPr>
            <w:r>
              <w:rPr>
                <w:rFonts w:hint="eastAsia" w:ascii="Times New Roman" w:hAnsi="Times New Roman" w:eastAsia="仿宋_GB2312"/>
                <w:b/>
                <w:bCs/>
              </w:rPr>
              <w:t>2016年</w:t>
            </w:r>
          </w:p>
        </w:tc>
        <w:tc>
          <w:tcPr>
            <w:tcW w:w="1393" w:type="dxa"/>
            <w:tcBorders>
              <w:tl2br w:val="nil"/>
              <w:tr2bl w:val="nil"/>
            </w:tcBorders>
            <w:shd w:val="clear" w:color="auto" w:fill="FFFFFF"/>
            <w:vAlign w:val="center"/>
          </w:tcPr>
          <w:p>
            <w:pPr>
              <w:tabs>
                <w:tab w:val="center" w:pos="1654"/>
                <w:tab w:val="left" w:pos="2502"/>
              </w:tabs>
              <w:jc w:val="center"/>
              <w:rPr>
                <w:rFonts w:ascii="Times New Roman" w:hAnsi="Times New Roman" w:eastAsia="仿宋_GB2312"/>
                <w:b/>
                <w:bCs/>
              </w:rPr>
            </w:pPr>
            <w:r>
              <w:rPr>
                <w:rFonts w:hint="eastAsia" w:ascii="Times New Roman" w:hAnsi="Times New Roman" w:eastAsia="仿宋_GB2312"/>
                <w:b/>
                <w:bCs/>
              </w:rPr>
              <w:t>2017年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896" w:type="dxa"/>
            <w:tcBorders>
              <w:tl2br w:val="nil"/>
              <w:tr2bl w:val="nil"/>
            </w:tcBorders>
            <w:shd w:val="clear" w:color="auto" w:fill="FFFFFF"/>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1</w:t>
            </w:r>
          </w:p>
        </w:tc>
        <w:tc>
          <w:tcPr>
            <w:tcW w:w="2907"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技能抽查合格率（%）</w:t>
            </w:r>
          </w:p>
        </w:tc>
        <w:tc>
          <w:tcPr>
            <w:tcW w:w="1416" w:type="dxa"/>
            <w:tcBorders>
              <w:tl2br w:val="nil"/>
              <w:tr2bl w:val="nil"/>
            </w:tcBorders>
            <w:shd w:val="clear" w:color="auto" w:fill="FFFFFF"/>
            <w:vAlign w:val="center"/>
          </w:tcPr>
          <w:p>
            <w:pPr>
              <w:tabs>
                <w:tab w:val="center" w:pos="1654"/>
                <w:tab w:val="left" w:pos="2502"/>
              </w:tabs>
              <w:jc w:val="center"/>
              <w:rPr>
                <w:rFonts w:ascii="Times New Roman" w:hAnsi="Times New Roman" w:eastAsia="仿宋_GB2312"/>
              </w:rPr>
            </w:pPr>
            <w:r>
              <w:rPr>
                <w:rFonts w:hint="eastAsia" w:ascii="Times New Roman" w:hAnsi="Times New Roman" w:eastAsia="仿宋_GB2312"/>
              </w:rPr>
              <w:t>75</w:t>
            </w:r>
          </w:p>
        </w:tc>
        <w:tc>
          <w:tcPr>
            <w:tcW w:w="1395" w:type="dxa"/>
            <w:tcBorders>
              <w:tl2br w:val="nil"/>
              <w:tr2bl w:val="nil"/>
            </w:tcBorders>
            <w:shd w:val="clear" w:color="auto" w:fill="FFFFFF"/>
            <w:vAlign w:val="center"/>
          </w:tcPr>
          <w:p>
            <w:pPr>
              <w:tabs>
                <w:tab w:val="center" w:pos="1654"/>
                <w:tab w:val="left" w:pos="2502"/>
              </w:tabs>
              <w:jc w:val="center"/>
              <w:rPr>
                <w:rFonts w:ascii="Times New Roman" w:hAnsi="Times New Roman" w:eastAsia="仿宋_GB2312"/>
              </w:rPr>
            </w:pPr>
            <w:r>
              <w:rPr>
                <w:rFonts w:hint="eastAsia" w:ascii="Times New Roman" w:hAnsi="Times New Roman" w:eastAsia="仿宋_GB2312"/>
              </w:rPr>
              <w:t>80</w:t>
            </w:r>
          </w:p>
        </w:tc>
        <w:tc>
          <w:tcPr>
            <w:tcW w:w="1393" w:type="dxa"/>
            <w:tcBorders>
              <w:tl2br w:val="nil"/>
              <w:tr2bl w:val="nil"/>
            </w:tcBorders>
            <w:shd w:val="clear" w:color="auto" w:fill="FFFFFF"/>
            <w:vAlign w:val="center"/>
          </w:tcPr>
          <w:p>
            <w:pPr>
              <w:tabs>
                <w:tab w:val="center" w:pos="1654"/>
                <w:tab w:val="left" w:pos="2502"/>
              </w:tabs>
              <w:jc w:val="center"/>
              <w:rPr>
                <w:rFonts w:ascii="Times New Roman" w:hAnsi="Times New Roman" w:eastAsia="仿宋_GB2312"/>
              </w:rPr>
            </w:pPr>
            <w:r>
              <w:rPr>
                <w:rFonts w:hint="eastAsia" w:ascii="Times New Roman" w:hAnsi="Times New Roman" w:eastAsia="仿宋_GB2312"/>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896" w:type="dxa"/>
            <w:tcBorders>
              <w:tl2br w:val="nil"/>
              <w:tr2bl w:val="nil"/>
            </w:tcBorders>
            <w:shd w:val="clear" w:color="auto" w:fill="FFFFFF"/>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2</w:t>
            </w:r>
          </w:p>
        </w:tc>
        <w:tc>
          <w:tcPr>
            <w:tcW w:w="2907"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毕业设计平均成绩（分）</w:t>
            </w:r>
          </w:p>
        </w:tc>
        <w:tc>
          <w:tcPr>
            <w:tcW w:w="1416" w:type="dxa"/>
            <w:tcBorders>
              <w:tl2br w:val="nil"/>
              <w:tr2bl w:val="nil"/>
            </w:tcBorders>
            <w:shd w:val="clear" w:color="auto" w:fill="FFFFFF"/>
            <w:vAlign w:val="center"/>
          </w:tcPr>
          <w:p>
            <w:pPr>
              <w:tabs>
                <w:tab w:val="center" w:pos="1654"/>
                <w:tab w:val="left" w:pos="2502"/>
              </w:tabs>
              <w:jc w:val="center"/>
              <w:rPr>
                <w:rFonts w:ascii="Times New Roman" w:hAnsi="Times New Roman" w:eastAsia="仿宋_GB2312"/>
              </w:rPr>
            </w:pPr>
            <w:r>
              <w:rPr>
                <w:rFonts w:hint="eastAsia" w:ascii="Times New Roman" w:hAnsi="Times New Roman" w:eastAsia="仿宋_GB2312"/>
              </w:rPr>
              <w:t>86.7</w:t>
            </w:r>
          </w:p>
        </w:tc>
        <w:tc>
          <w:tcPr>
            <w:tcW w:w="1395" w:type="dxa"/>
            <w:tcBorders>
              <w:tl2br w:val="nil"/>
              <w:tr2bl w:val="nil"/>
            </w:tcBorders>
            <w:shd w:val="clear" w:color="auto" w:fill="FFFFFF"/>
            <w:vAlign w:val="center"/>
          </w:tcPr>
          <w:p>
            <w:pPr>
              <w:tabs>
                <w:tab w:val="center" w:pos="1654"/>
                <w:tab w:val="left" w:pos="2502"/>
              </w:tabs>
              <w:jc w:val="center"/>
              <w:rPr>
                <w:rFonts w:ascii="Times New Roman" w:hAnsi="Times New Roman" w:eastAsia="仿宋_GB2312"/>
              </w:rPr>
            </w:pPr>
            <w:r>
              <w:rPr>
                <w:rFonts w:hint="eastAsia" w:ascii="Times New Roman" w:hAnsi="Times New Roman" w:eastAsia="仿宋_GB2312"/>
              </w:rPr>
              <w:t>84.6</w:t>
            </w:r>
          </w:p>
        </w:tc>
        <w:tc>
          <w:tcPr>
            <w:tcW w:w="1393" w:type="dxa"/>
            <w:tcBorders>
              <w:tl2br w:val="nil"/>
              <w:tr2bl w:val="nil"/>
            </w:tcBorders>
            <w:shd w:val="clear" w:color="auto" w:fill="FFFFFF"/>
            <w:vAlign w:val="center"/>
          </w:tcPr>
          <w:p>
            <w:pPr>
              <w:tabs>
                <w:tab w:val="center" w:pos="1654"/>
                <w:tab w:val="left" w:pos="2502"/>
              </w:tabs>
              <w:jc w:val="center"/>
              <w:rPr>
                <w:rFonts w:ascii="Times New Roman" w:hAnsi="Times New Roman" w:eastAsia="仿宋_GB2312"/>
              </w:rPr>
            </w:pPr>
            <w:r>
              <w:rPr>
                <w:rFonts w:hint="eastAsia" w:ascii="Times New Roman" w:hAnsi="Times New Roman" w:eastAsia="仿宋_GB2312"/>
              </w:rPr>
              <w:t>90.7</w:t>
            </w:r>
          </w:p>
        </w:tc>
      </w:tr>
    </w:tbl>
    <w:p>
      <w:pPr>
        <w:spacing w:line="400" w:lineRule="exact"/>
        <w:jc w:val="center"/>
        <w:rPr>
          <w:rFonts w:ascii="楷体" w:hAnsi="楷体" w:eastAsia="楷体" w:cs="楷体"/>
          <w:sz w:val="24"/>
        </w:rPr>
      </w:pPr>
      <w:r>
        <w:rPr>
          <w:rFonts w:hint="eastAsia" w:ascii="楷体" w:hAnsi="楷体" w:eastAsia="楷体" w:cs="楷体"/>
          <w:sz w:val="24"/>
        </w:rPr>
        <w:t>数据来源：</w:t>
      </w:r>
      <w:r>
        <w:rPr>
          <w:rFonts w:hint="eastAsia" w:ascii="楷体" w:hAnsi="楷体" w:eastAsia="楷体" w:cs="楷体"/>
          <w:sz w:val="24"/>
          <w:lang w:eastAsia="zh-CN"/>
        </w:rPr>
        <w:t>学院教务处</w:t>
      </w:r>
    </w:p>
    <w:p>
      <w:pPr>
        <w:numPr>
          <w:ilvl w:val="0"/>
          <w:numId w:val="0"/>
        </w:numPr>
        <w:spacing w:line="520" w:lineRule="exact"/>
        <w:ind w:firstLine="562" w:firstLineChars="200"/>
        <w:rPr>
          <w:rFonts w:hint="eastAsia" w:ascii="仿宋_GB2312" w:eastAsia="仿宋_GB2312"/>
          <w:b/>
          <w:bCs/>
          <w:sz w:val="28"/>
          <w:szCs w:val="28"/>
          <w:lang w:val="en-US" w:eastAsia="zh-CN"/>
        </w:rPr>
      </w:pPr>
      <w:r>
        <w:rPr>
          <w:rFonts w:hint="eastAsia" w:ascii="仿宋_GB2312" w:eastAsia="仿宋_GB2312"/>
          <w:b/>
          <w:bCs/>
          <w:sz w:val="28"/>
          <w:szCs w:val="28"/>
          <w:lang w:val="en-US" w:eastAsia="zh-CN"/>
        </w:rPr>
        <w:t>（4）学生身心素质</w:t>
      </w:r>
    </w:p>
    <w:p>
      <w:pPr>
        <w:numPr>
          <w:ilvl w:val="0"/>
          <w:numId w:val="0"/>
        </w:numPr>
        <w:spacing w:line="520" w:lineRule="exact"/>
        <w:rPr>
          <w:rFonts w:hint="eastAsia" w:ascii="仿宋_GB2312" w:eastAsia="仿宋_GB2312"/>
          <w:b/>
          <w:bCs/>
          <w:sz w:val="28"/>
          <w:szCs w:val="28"/>
          <w:lang w:val="en-US" w:eastAsia="zh-CN"/>
        </w:rPr>
      </w:pPr>
      <w:r>
        <w:rPr>
          <w:rFonts w:hint="eastAsia" w:ascii="仿宋_GB2312" w:eastAsia="仿宋_GB2312"/>
          <w:b/>
          <w:bCs/>
          <w:sz w:val="28"/>
          <w:szCs w:val="28"/>
          <w:lang w:val="en-US" w:eastAsia="zh-CN"/>
        </w:rPr>
        <w:t xml:space="preserve">    </w:t>
      </w:r>
      <w:r>
        <w:rPr>
          <w:rFonts w:hint="eastAsia" w:ascii="仿宋_GB2312" w:eastAsia="仿宋_GB2312"/>
          <w:sz w:val="28"/>
          <w:szCs w:val="28"/>
        </w:rPr>
        <w:t>通过对比近三年学生身体形态、身体机能、身体素质等体质健康指标变化，发现总体情况</w:t>
      </w:r>
      <w:r>
        <w:rPr>
          <w:rFonts w:hint="eastAsia" w:ascii="仿宋_GB2312" w:eastAsia="仿宋_GB2312"/>
          <w:sz w:val="28"/>
          <w:szCs w:val="28"/>
          <w:lang w:eastAsia="zh-CN"/>
        </w:rPr>
        <w:t>略有</w:t>
      </w:r>
      <w:r>
        <w:rPr>
          <w:rFonts w:hint="eastAsia" w:ascii="仿宋_GB2312" w:eastAsia="仿宋_GB2312"/>
          <w:sz w:val="28"/>
          <w:szCs w:val="28"/>
        </w:rPr>
        <w:t>下滑</w:t>
      </w:r>
      <w:r>
        <w:rPr>
          <w:rFonts w:hint="eastAsia" w:ascii="仿宋_GB2312" w:eastAsia="仿宋_GB2312"/>
          <w:sz w:val="28"/>
          <w:szCs w:val="28"/>
          <w:lang w:eastAsia="zh-CN"/>
        </w:rPr>
        <w:t>。</w:t>
      </w:r>
      <w:r>
        <w:rPr>
          <w:rFonts w:hint="eastAsia" w:ascii="仿宋_GB2312" w:eastAsia="仿宋_GB2312"/>
          <w:sz w:val="28"/>
          <w:szCs w:val="28"/>
        </w:rPr>
        <w:t>学生心理亚健康状况</w:t>
      </w:r>
      <w:r>
        <w:rPr>
          <w:rFonts w:hint="eastAsia" w:ascii="仿宋_GB2312" w:eastAsia="仿宋_GB2312"/>
          <w:sz w:val="28"/>
          <w:szCs w:val="28"/>
          <w:lang w:eastAsia="zh-CN"/>
        </w:rPr>
        <w:t>好转，整体心理素质良好。</w:t>
      </w:r>
    </w:p>
    <w:p>
      <w:pPr>
        <w:spacing w:line="520" w:lineRule="exact"/>
        <w:ind w:firstLine="562" w:firstLineChars="200"/>
        <w:rPr>
          <w:rFonts w:ascii="仿宋_GB2312" w:eastAsia="仿宋_GB2312"/>
          <w:b/>
          <w:bCs/>
          <w:sz w:val="28"/>
          <w:szCs w:val="28"/>
        </w:rPr>
      </w:pPr>
      <w:r>
        <w:rPr>
          <w:rFonts w:hint="eastAsia" w:ascii="仿宋_GB2312" w:eastAsia="仿宋_GB2312"/>
          <w:b/>
          <w:bCs/>
          <w:sz w:val="28"/>
          <w:szCs w:val="28"/>
        </w:rPr>
        <w:t>（5）学生各类竞赛获奖情况</w:t>
      </w:r>
    </w:p>
    <w:p>
      <w:pPr>
        <w:spacing w:line="520" w:lineRule="exact"/>
        <w:ind w:firstLine="560" w:firstLineChars="200"/>
        <w:rPr>
          <w:rFonts w:ascii="仿宋_GB2312" w:eastAsia="仿宋_GB2312"/>
          <w:b/>
          <w:bCs/>
          <w:sz w:val="24"/>
          <w:szCs w:val="24"/>
        </w:rPr>
      </w:pPr>
      <w:r>
        <w:rPr>
          <w:rFonts w:hint="eastAsia" w:ascii="仿宋_GB2312" w:eastAsia="仿宋_GB2312"/>
          <w:sz w:val="28"/>
          <w:szCs w:val="28"/>
        </w:rPr>
        <w:t>学生在全国、全省技能大赛获奖数量和等级逐年提高，2017年获得20项，比2016年增长66.67%（见图2-4）；我院动物医学专业学生代表湖南省在教育部组织的全国职业院校技能大赛高职组</w:t>
      </w:r>
      <w:r>
        <w:rPr>
          <w:rFonts w:hint="eastAsia" w:ascii="仿宋" w:hAnsi="仿宋" w:eastAsia="仿宋"/>
          <w:sz w:val="28"/>
          <w:szCs w:val="28"/>
        </w:rPr>
        <w:t>鸡</w:t>
      </w:r>
      <w:r>
        <w:rPr>
          <w:rFonts w:ascii="仿宋" w:hAnsi="仿宋" w:eastAsia="仿宋"/>
          <w:sz w:val="28"/>
          <w:szCs w:val="28"/>
        </w:rPr>
        <w:t>新城疫抗体水平测定</w:t>
      </w:r>
      <w:r>
        <w:rPr>
          <w:rFonts w:hint="eastAsia" w:ascii="仿宋" w:hAnsi="仿宋" w:eastAsia="仿宋"/>
          <w:sz w:val="28"/>
          <w:szCs w:val="28"/>
        </w:rPr>
        <w:t>比赛中荣</w:t>
      </w:r>
      <w:r>
        <w:rPr>
          <w:rFonts w:hint="eastAsia" w:ascii="仿宋_GB2312" w:eastAsia="仿宋_GB2312"/>
          <w:sz w:val="28"/>
          <w:szCs w:val="28"/>
        </w:rPr>
        <w:t>获团体三等奖，实现了我院学生专业技能竞赛国家级奖项零的突破；我院广告设计与制作专业学生在第九届全国大学生广告艺术大赛上荣获三等奖，是参加这项赛事以来取得的最好成绩。</w:t>
      </w:r>
    </w:p>
    <w:p>
      <w:pPr>
        <w:jc w:val="center"/>
        <w:rPr>
          <w:rFonts w:ascii="仿宋_GB2312" w:eastAsia="仿宋_GB2312"/>
          <w:b/>
          <w:bCs/>
          <w:sz w:val="10"/>
          <w:szCs w:val="10"/>
        </w:rPr>
      </w:pPr>
      <w:r>
        <w:rPr>
          <w:rFonts w:hint="eastAsia" w:ascii="仿宋_GB2312" w:eastAsia="仿宋_GB2312"/>
          <w:b/>
          <w:bCs/>
          <w:sz w:val="24"/>
          <w:szCs w:val="24"/>
        </w:rPr>
        <w:t>图</w:t>
      </w:r>
      <w:r>
        <w:rPr>
          <w:rFonts w:hint="eastAsia" w:ascii="Times New Roman" w:hAnsi="Times New Roman" w:eastAsia="仿宋_GB2312"/>
          <w:b/>
          <w:bCs/>
          <w:sz w:val="24"/>
        </w:rPr>
        <w:t>2-</w:t>
      </w:r>
      <w:r>
        <w:rPr>
          <w:rFonts w:hint="eastAsia" w:ascii="Times New Roman" w:hAnsi="Times New Roman" w:eastAsia="仿宋_GB2312"/>
          <w:b/>
          <w:bCs/>
          <w:sz w:val="24"/>
          <w:lang w:val="en-US" w:eastAsia="zh-CN"/>
        </w:rPr>
        <w:t>5</w:t>
      </w:r>
      <w:r>
        <w:rPr>
          <w:rFonts w:hint="eastAsia" w:ascii="Times New Roman" w:hAnsi="Times New Roman" w:eastAsia="仿宋_GB2312"/>
          <w:b/>
          <w:bCs/>
          <w:sz w:val="24"/>
        </w:rPr>
        <w:t xml:space="preserve">  2015—2017</w:t>
      </w:r>
      <w:r>
        <w:rPr>
          <w:rFonts w:hint="eastAsia" w:ascii="仿宋_GB2312" w:eastAsia="仿宋_GB2312"/>
          <w:b/>
          <w:bCs/>
          <w:sz w:val="24"/>
          <w:szCs w:val="24"/>
        </w:rPr>
        <w:t>年学生技能竞赛获奖数量</w:t>
      </w:r>
    </w:p>
    <w:p>
      <w:pPr>
        <w:jc w:val="center"/>
      </w:pPr>
      <w:r>
        <w:drawing>
          <wp:inline distT="0" distB="0" distL="114300" distR="114300">
            <wp:extent cx="4076700" cy="2059305"/>
            <wp:effectExtent l="4445" t="4445" r="14605" b="1270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jc w:val="center"/>
        <w:rPr>
          <w:rFonts w:ascii="楷体" w:hAnsi="楷体" w:eastAsia="楷体" w:cs="楷体"/>
        </w:rPr>
      </w:pPr>
      <w:r>
        <w:rPr>
          <w:rFonts w:hint="eastAsia" w:ascii="楷体" w:hAnsi="楷体" w:eastAsia="楷体" w:cs="楷体"/>
        </w:rPr>
        <w:t>数据来源：教务处</w:t>
      </w:r>
    </w:p>
    <w:p>
      <w:pPr>
        <w:jc w:val="center"/>
        <w:rPr>
          <w:rFonts w:ascii="楷体" w:hAnsi="楷体" w:eastAsia="楷体" w:cs="楷体"/>
        </w:rPr>
      </w:pPr>
      <w:r>
        <w:rPr>
          <w:rFonts w:hint="eastAsia" w:ascii="仿宋" w:hAnsi="仿宋" w:eastAsia="仿宋"/>
          <w:sz w:val="32"/>
          <w:szCs w:val="32"/>
        </w:rPr>
        <w:drawing>
          <wp:inline distT="0" distB="0" distL="0" distR="0">
            <wp:extent cx="2141855" cy="3026410"/>
            <wp:effectExtent l="0" t="0" r="2540"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2141855" cy="3026410"/>
                    </a:xfrm>
                    <a:prstGeom prst="rect">
                      <a:avLst/>
                    </a:prstGeom>
                  </pic:spPr>
                </pic:pic>
              </a:graphicData>
            </a:graphic>
          </wp:inline>
        </w:drawing>
      </w:r>
    </w:p>
    <w:p>
      <w:pPr>
        <w:jc w:val="center"/>
        <w:rPr>
          <w:rFonts w:ascii="楷体" w:hAnsi="楷体" w:eastAsia="楷体" w:cs="楷体"/>
        </w:rPr>
      </w:pPr>
      <w:r>
        <w:rPr>
          <w:rFonts w:hint="eastAsia" w:ascii="楷体" w:hAnsi="楷体" w:eastAsia="楷体" w:cs="楷体"/>
        </w:rPr>
        <w:t>图为动物医学专业学生在全国技能竞赛中获奖证书</w:t>
      </w:r>
    </w:p>
    <w:p>
      <w:pPr>
        <w:jc w:val="center"/>
        <w:rPr>
          <w:rFonts w:ascii="楷体" w:hAnsi="楷体" w:eastAsia="楷体" w:cs="楷体"/>
        </w:rPr>
      </w:pPr>
    </w:p>
    <w:p>
      <w:pPr>
        <w:jc w:val="center"/>
        <w:rPr>
          <w:rFonts w:ascii="楷体" w:hAnsi="楷体" w:eastAsia="楷体" w:cs="楷体"/>
        </w:rPr>
      </w:pPr>
      <w:r>
        <w:rPr>
          <w:rFonts w:ascii="楷体" w:hAnsi="楷体" w:eastAsia="楷体"/>
          <w:sz w:val="30"/>
          <w:szCs w:val="30"/>
        </w:rPr>
        <w:drawing>
          <wp:inline distT="0" distB="0" distL="114300" distR="114300">
            <wp:extent cx="2141220" cy="2952115"/>
            <wp:effectExtent l="0" t="0" r="11430" b="635"/>
            <wp:docPr id="6" name="图片 6" descr="2017广告大赛三等奖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17广告大赛三等奖证书"/>
                    <pic:cNvPicPr>
                      <a:picLocks noChangeAspect="1"/>
                    </pic:cNvPicPr>
                  </pic:nvPicPr>
                  <pic:blipFill>
                    <a:blip r:embed="rId27"/>
                    <a:stretch>
                      <a:fillRect/>
                    </a:stretch>
                  </pic:blipFill>
                  <pic:spPr>
                    <a:xfrm>
                      <a:off x="0" y="0"/>
                      <a:ext cx="2141220" cy="2952115"/>
                    </a:xfrm>
                    <a:prstGeom prst="rect">
                      <a:avLst/>
                    </a:prstGeom>
                  </pic:spPr>
                </pic:pic>
              </a:graphicData>
            </a:graphic>
          </wp:inline>
        </w:drawing>
      </w:r>
    </w:p>
    <w:p>
      <w:pPr>
        <w:jc w:val="center"/>
        <w:rPr>
          <w:rFonts w:ascii="楷体" w:hAnsi="楷体" w:eastAsia="楷体" w:cs="楷体"/>
        </w:rPr>
      </w:pPr>
      <w:r>
        <w:rPr>
          <w:rFonts w:hint="eastAsia" w:ascii="楷体" w:hAnsi="楷体" w:eastAsia="楷体" w:cs="楷体"/>
        </w:rPr>
        <w:t>图为广告设计与制作专业学生在全国竞赛中获奖证书</w:t>
      </w:r>
    </w:p>
    <w:p>
      <w:pPr>
        <w:spacing w:line="480" w:lineRule="exact"/>
        <w:rPr>
          <w:rFonts w:ascii="仿宋_GB2312" w:hAnsi="仿宋_GB2312" w:eastAsia="仿宋_GB2312" w:cs="仿宋_GB2312"/>
          <w:b/>
          <w:bCs/>
          <w:sz w:val="28"/>
          <w:szCs w:val="28"/>
        </w:rPr>
      </w:pPr>
      <w:bookmarkStart w:id="77" w:name="_Toc27628"/>
      <w:bookmarkStart w:id="78" w:name="_Toc4887"/>
      <w:bookmarkStart w:id="79" w:name="_Toc1247"/>
      <w:bookmarkStart w:id="80" w:name="_Toc31388"/>
      <w:bookmarkStart w:id="81" w:name="_Toc13933"/>
      <w:bookmarkStart w:id="82" w:name="_Toc12520"/>
      <w:bookmarkStart w:id="83" w:name="_Toc30027"/>
      <w:r>
        <w:rPr>
          <w:rFonts w:hint="eastAsia" w:ascii="仿宋_GB2312" w:hAnsi="仿宋_GB2312" w:eastAsia="仿宋_GB2312" w:cs="仿宋_GB2312"/>
          <w:b/>
          <w:bCs/>
          <w:sz w:val="28"/>
          <w:szCs w:val="28"/>
        </w:rPr>
        <w:t>2.4创新创业</w:t>
      </w:r>
      <w:bookmarkEnd w:id="77"/>
      <w:bookmarkEnd w:id="78"/>
      <w:bookmarkEnd w:id="79"/>
      <w:bookmarkEnd w:id="80"/>
      <w:bookmarkEnd w:id="81"/>
      <w:bookmarkEnd w:id="82"/>
      <w:bookmarkEnd w:id="83"/>
    </w:p>
    <w:p>
      <w:pPr>
        <w:spacing w:line="480" w:lineRule="exact"/>
        <w:ind w:firstLine="562" w:firstLineChars="200"/>
        <w:rPr>
          <w:rFonts w:ascii="仿宋_GB2312" w:eastAsia="仿宋_GB2312"/>
          <w:b/>
          <w:bCs/>
          <w:sz w:val="28"/>
          <w:szCs w:val="28"/>
        </w:rPr>
      </w:pPr>
      <w:r>
        <w:rPr>
          <w:rFonts w:hint="eastAsia" w:ascii="仿宋" w:hAnsi="仿宋" w:eastAsia="仿宋" w:cs="仿宋"/>
          <w:b/>
          <w:bCs/>
          <w:sz w:val="28"/>
          <w:szCs w:val="28"/>
        </w:rPr>
        <w:t>（1）学生创新创业意识和</w:t>
      </w:r>
      <w:r>
        <w:rPr>
          <w:rFonts w:hint="eastAsia" w:ascii="仿宋_GB2312" w:eastAsia="仿宋_GB2312"/>
          <w:b/>
          <w:bCs/>
          <w:sz w:val="28"/>
          <w:szCs w:val="28"/>
        </w:rPr>
        <w:t>能力不断增强</w:t>
      </w:r>
    </w:p>
    <w:p>
      <w:pPr>
        <w:spacing w:line="4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学生积极参加学院和各级政府举办的各类创新创业大赛。2017年学院承办的第三届邵阳市大学生创新创业大赛中，我院参与的师生人数达200余人，共收到创意42项，产生14个获奖项目，占获奖项目的绝大多数。学生积极参加创业培训，今年，840名在校学生参加SIYB培训，同比增加23.53%。参加黄炎培创业大赛和“互联网+”创业大赛的学生每年都以30%以上速度增加。学生的创新创业意识全方位提升。毕业生中涌现出了一批创新创业人才。</w:t>
      </w:r>
    </w:p>
    <w:p>
      <w:pPr>
        <w:spacing w:line="480" w:lineRule="exact"/>
        <w:ind w:firstLine="562" w:firstLineChars="200"/>
        <w:rPr>
          <w:rFonts w:ascii="仿宋_GB2312" w:eastAsia="仿宋_GB2312"/>
          <w:b/>
          <w:bCs/>
          <w:sz w:val="28"/>
          <w:szCs w:val="28"/>
        </w:rPr>
      </w:pPr>
      <w:r>
        <w:rPr>
          <w:rFonts w:hint="eastAsia" w:ascii="仿宋_GB2312" w:eastAsia="仿宋_GB2312"/>
          <w:b/>
          <w:bCs/>
          <w:sz w:val="28"/>
          <w:szCs w:val="28"/>
        </w:rPr>
        <w:t>（2）近三年毕业生自主创业比例呈波动状态</w:t>
      </w:r>
    </w:p>
    <w:p>
      <w:pPr>
        <w:spacing w:line="480" w:lineRule="exact"/>
        <w:ind w:firstLine="560" w:firstLineChars="200"/>
        <w:rPr>
          <w:rFonts w:ascii="Times New Roman" w:hAnsi="Times New Roman" w:eastAsia="仿宋_GB2312"/>
          <w:b/>
          <w:sz w:val="24"/>
        </w:rPr>
      </w:pPr>
      <w:r>
        <w:rPr>
          <w:rFonts w:hint="eastAsia" w:ascii="仿宋" w:hAnsi="仿宋" w:eastAsia="仿宋" w:cs="仿宋"/>
          <w:sz w:val="28"/>
          <w:szCs w:val="28"/>
        </w:rPr>
        <w:t>2017届毕业生当年自主创业率0.93%，比2016届毕业生</w:t>
      </w:r>
      <w:r>
        <w:rPr>
          <w:rFonts w:hint="eastAsia" w:ascii="仿宋" w:hAnsi="仿宋" w:eastAsia="仿宋" w:cs="仿宋"/>
          <w:sz w:val="28"/>
          <w:szCs w:val="28"/>
          <w:lang w:eastAsia="zh-CN"/>
        </w:rPr>
        <w:t>提高了</w:t>
      </w:r>
      <w:r>
        <w:rPr>
          <w:rFonts w:hint="eastAsia" w:ascii="仿宋" w:hAnsi="仿宋" w:eastAsia="仿宋" w:cs="仿宋"/>
          <w:sz w:val="28"/>
          <w:szCs w:val="28"/>
          <w:lang w:val="en-US" w:eastAsia="zh-CN"/>
        </w:rPr>
        <w:t>0.6个百分点</w:t>
      </w:r>
      <w:r>
        <w:rPr>
          <w:rFonts w:hint="eastAsia" w:ascii="仿宋" w:hAnsi="仿宋" w:eastAsia="仿宋" w:cs="仿宋"/>
          <w:sz w:val="28"/>
          <w:szCs w:val="28"/>
        </w:rPr>
        <w:t>；2014届毕业生毕业三年自主创业率1.94%，比2013届</w:t>
      </w:r>
      <w:r>
        <w:rPr>
          <w:rFonts w:hint="eastAsia" w:ascii="仿宋" w:hAnsi="仿宋" w:eastAsia="仿宋" w:cs="仿宋"/>
          <w:sz w:val="28"/>
          <w:szCs w:val="28"/>
          <w:lang w:eastAsia="zh-CN"/>
        </w:rPr>
        <w:t>提高</w:t>
      </w:r>
      <w:r>
        <w:rPr>
          <w:rFonts w:hint="eastAsia" w:ascii="仿宋" w:hAnsi="仿宋" w:eastAsia="仿宋" w:cs="仿宋"/>
          <w:sz w:val="28"/>
          <w:szCs w:val="28"/>
          <w:lang w:val="en-US" w:eastAsia="zh-CN"/>
        </w:rPr>
        <w:t>了1.59个百分点</w:t>
      </w:r>
      <w:r>
        <w:rPr>
          <w:rFonts w:hint="eastAsia" w:ascii="仿宋" w:hAnsi="仿宋" w:eastAsia="仿宋" w:cs="仿宋"/>
          <w:sz w:val="28"/>
          <w:szCs w:val="28"/>
        </w:rPr>
        <w:t>（见表2-7）。</w:t>
      </w:r>
    </w:p>
    <w:p>
      <w:pPr>
        <w:overflowPunct w:val="0"/>
        <w:spacing w:line="480" w:lineRule="exact"/>
        <w:jc w:val="center"/>
        <w:rPr>
          <w:rFonts w:ascii="Times New Roman" w:hAnsi="Times New Roman" w:eastAsia="仿宋_GB2312"/>
          <w:b/>
          <w:sz w:val="24"/>
        </w:rPr>
      </w:pPr>
      <w:r>
        <w:rPr>
          <w:rFonts w:hint="eastAsia" w:ascii="Times New Roman" w:hAnsi="Times New Roman" w:eastAsia="仿宋_GB2312"/>
          <w:b/>
          <w:sz w:val="24"/>
        </w:rPr>
        <w:t>表2-</w:t>
      </w:r>
      <w:r>
        <w:rPr>
          <w:rFonts w:hint="eastAsia" w:ascii="Times New Roman" w:hAnsi="Times New Roman" w:eastAsia="仿宋_GB2312"/>
          <w:b/>
          <w:sz w:val="24"/>
          <w:lang w:val="en-US" w:eastAsia="zh-CN"/>
        </w:rPr>
        <w:t>4</w:t>
      </w:r>
      <w:r>
        <w:rPr>
          <w:rFonts w:hint="eastAsia" w:ascii="Times New Roman" w:hAnsi="Times New Roman" w:eastAsia="仿宋_GB2312"/>
          <w:b/>
          <w:sz w:val="24"/>
        </w:rPr>
        <w:t xml:space="preserve">  毕业生自主创业情况</w:t>
      </w:r>
    </w:p>
    <w:tbl>
      <w:tblPr>
        <w:tblStyle w:val="8"/>
        <w:tblW w:w="8240" w:type="dxa"/>
        <w:jc w:val="center"/>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2"/>
        <w:gridCol w:w="3588"/>
        <w:gridCol w:w="1395"/>
        <w:gridCol w:w="1260"/>
        <w:gridCol w:w="12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742"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序号</w:t>
            </w:r>
          </w:p>
        </w:tc>
        <w:tc>
          <w:tcPr>
            <w:tcW w:w="3588" w:type="dxa"/>
            <w:tcBorders>
              <w:tl2br w:val="nil"/>
              <w:tr2bl w:val="nil"/>
            </w:tcBorders>
            <w:shd w:val="clear" w:color="auto" w:fill="FFFFFF"/>
            <w:vAlign w:val="center"/>
          </w:tcPr>
          <w:p>
            <w:pPr>
              <w:tabs>
                <w:tab w:val="center" w:pos="1654"/>
                <w:tab w:val="left" w:pos="2502"/>
              </w:tabs>
              <w:jc w:val="center"/>
              <w:rPr>
                <w:rFonts w:ascii="Times New Roman" w:hAnsi="Times New Roman" w:eastAsia="仿宋_GB2312"/>
                <w:b/>
                <w:bCs/>
              </w:rPr>
            </w:pPr>
            <w:r>
              <w:rPr>
                <w:rFonts w:hint="eastAsia" w:ascii="Times New Roman" w:hAnsi="Times New Roman" w:eastAsia="仿宋_GB2312"/>
                <w:b/>
                <w:bCs/>
              </w:rPr>
              <w:t>指  标</w:t>
            </w:r>
          </w:p>
        </w:tc>
        <w:tc>
          <w:tcPr>
            <w:tcW w:w="1395" w:type="dxa"/>
            <w:tcBorders>
              <w:tl2br w:val="nil"/>
              <w:tr2bl w:val="nil"/>
            </w:tcBorders>
            <w:shd w:val="clear" w:color="auto" w:fill="FFFFFF"/>
            <w:vAlign w:val="center"/>
          </w:tcPr>
          <w:p>
            <w:pPr>
              <w:tabs>
                <w:tab w:val="center" w:pos="1654"/>
                <w:tab w:val="left" w:pos="2502"/>
              </w:tabs>
              <w:jc w:val="center"/>
              <w:rPr>
                <w:rFonts w:ascii="Times New Roman" w:hAnsi="Times New Roman" w:eastAsia="仿宋_GB2312"/>
                <w:b/>
                <w:bCs/>
              </w:rPr>
            </w:pPr>
            <w:r>
              <w:rPr>
                <w:rFonts w:hint="eastAsia" w:ascii="Times New Roman" w:hAnsi="Times New Roman" w:eastAsia="仿宋_GB2312"/>
                <w:b/>
                <w:bCs/>
              </w:rPr>
              <w:t>2015届</w:t>
            </w:r>
          </w:p>
        </w:tc>
        <w:tc>
          <w:tcPr>
            <w:tcW w:w="1260"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2016届</w:t>
            </w:r>
          </w:p>
        </w:tc>
        <w:tc>
          <w:tcPr>
            <w:tcW w:w="1255"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2017届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742" w:type="dxa"/>
            <w:tcBorders>
              <w:tl2br w:val="nil"/>
              <w:tr2bl w:val="nil"/>
            </w:tcBorders>
            <w:shd w:val="clear" w:color="auto" w:fill="FFFFFF"/>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1</w:t>
            </w:r>
          </w:p>
        </w:tc>
        <w:tc>
          <w:tcPr>
            <w:tcW w:w="3588"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毕业生当年自主创业率（%）</w:t>
            </w:r>
          </w:p>
        </w:tc>
        <w:tc>
          <w:tcPr>
            <w:tcW w:w="1395" w:type="dxa"/>
            <w:tcBorders>
              <w:tl2br w:val="nil"/>
              <w:tr2bl w:val="nil"/>
            </w:tcBorders>
            <w:shd w:val="clear" w:color="auto" w:fill="FFFFFF"/>
            <w:vAlign w:val="center"/>
          </w:tcPr>
          <w:p>
            <w:pPr>
              <w:jc w:val="center"/>
              <w:rPr>
                <w:rFonts w:hint="eastAsia" w:ascii="Times New Roman" w:hAnsi="Times New Roman" w:eastAsia="仿宋_GB2312"/>
                <w:lang w:val="en-US" w:eastAsia="zh-CN"/>
              </w:rPr>
            </w:pPr>
            <w:r>
              <w:rPr>
                <w:rFonts w:hint="eastAsia" w:ascii="Times New Roman" w:hAnsi="Times New Roman" w:eastAsia="仿宋_GB2312"/>
                <w:lang w:val="en-US" w:eastAsia="zh-CN"/>
              </w:rPr>
              <w:t>0.9</w:t>
            </w:r>
          </w:p>
        </w:tc>
        <w:tc>
          <w:tcPr>
            <w:tcW w:w="1260" w:type="dxa"/>
            <w:tcBorders>
              <w:tl2br w:val="nil"/>
              <w:tr2bl w:val="nil"/>
            </w:tcBorders>
            <w:shd w:val="clear" w:color="auto" w:fill="FFFFFF"/>
            <w:vAlign w:val="center"/>
          </w:tcPr>
          <w:p>
            <w:pPr>
              <w:jc w:val="center"/>
              <w:rPr>
                <w:rFonts w:hint="eastAsia" w:ascii="Times New Roman" w:hAnsi="Times New Roman" w:eastAsia="仿宋_GB2312"/>
                <w:lang w:val="en-US" w:eastAsia="zh-CN"/>
              </w:rPr>
            </w:pPr>
            <w:r>
              <w:rPr>
                <w:rFonts w:hint="eastAsia" w:ascii="Times New Roman" w:hAnsi="Times New Roman" w:eastAsia="仿宋_GB2312"/>
                <w:lang w:val="en-US" w:eastAsia="zh-CN"/>
              </w:rPr>
              <w:t>0.33</w:t>
            </w:r>
          </w:p>
        </w:tc>
        <w:tc>
          <w:tcPr>
            <w:tcW w:w="1255" w:type="dxa"/>
            <w:tcBorders>
              <w:tl2br w:val="nil"/>
              <w:tr2bl w:val="nil"/>
            </w:tcBorders>
            <w:shd w:val="clear" w:color="auto" w:fill="FFFFFF"/>
            <w:vAlign w:val="center"/>
          </w:tcPr>
          <w:p>
            <w:pPr>
              <w:jc w:val="center"/>
              <w:rPr>
                <w:rFonts w:hint="eastAsia" w:ascii="Times New Roman" w:hAnsi="Times New Roman" w:eastAsia="仿宋_GB2312"/>
                <w:lang w:val="en-US" w:eastAsia="zh-CN"/>
              </w:rPr>
            </w:pPr>
            <w:r>
              <w:rPr>
                <w:rFonts w:hint="eastAsia" w:ascii="Times New Roman" w:hAnsi="Times New Roman" w:eastAsia="仿宋_GB2312"/>
                <w:lang w:val="en-US" w:eastAsia="zh-CN"/>
              </w:rPr>
              <w:t>0.93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742" w:type="dxa"/>
            <w:tcBorders>
              <w:tl2br w:val="nil"/>
              <w:tr2bl w:val="nil"/>
            </w:tcBorders>
            <w:shd w:val="clear" w:color="auto" w:fill="FFFFFF"/>
            <w:vAlign w:val="center"/>
          </w:tcPr>
          <w:p>
            <w:pPr>
              <w:jc w:val="center"/>
              <w:rPr>
                <w:rFonts w:ascii="Times New Roman" w:hAnsi="Times New Roman" w:eastAsia="仿宋_GB2312"/>
                <w:sz w:val="24"/>
                <w:szCs w:val="24"/>
              </w:rPr>
            </w:pPr>
          </w:p>
        </w:tc>
        <w:tc>
          <w:tcPr>
            <w:tcW w:w="3588"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指  标</w:t>
            </w:r>
          </w:p>
        </w:tc>
        <w:tc>
          <w:tcPr>
            <w:tcW w:w="1395"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2012届</w:t>
            </w:r>
          </w:p>
        </w:tc>
        <w:tc>
          <w:tcPr>
            <w:tcW w:w="126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2013届</w:t>
            </w:r>
          </w:p>
        </w:tc>
        <w:tc>
          <w:tcPr>
            <w:tcW w:w="1255"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2014届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742" w:type="dxa"/>
            <w:tcBorders>
              <w:tl2br w:val="nil"/>
              <w:tr2bl w:val="nil"/>
            </w:tcBorders>
            <w:shd w:val="clear" w:color="auto" w:fill="FFFFFF"/>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2</w:t>
            </w:r>
          </w:p>
        </w:tc>
        <w:tc>
          <w:tcPr>
            <w:tcW w:w="3588"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毕业生毕业三年自主创业率（%）</w:t>
            </w:r>
          </w:p>
        </w:tc>
        <w:tc>
          <w:tcPr>
            <w:tcW w:w="1395"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1.28</w:t>
            </w:r>
          </w:p>
        </w:tc>
        <w:tc>
          <w:tcPr>
            <w:tcW w:w="126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0.35</w:t>
            </w:r>
          </w:p>
        </w:tc>
        <w:tc>
          <w:tcPr>
            <w:tcW w:w="1255"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1.94</w:t>
            </w:r>
          </w:p>
        </w:tc>
      </w:tr>
    </w:tbl>
    <w:p>
      <w:pPr>
        <w:ind w:firstLine="420" w:firstLineChars="200"/>
        <w:jc w:val="center"/>
        <w:rPr>
          <w:rFonts w:ascii="仿宋_GB2312" w:eastAsia="仿宋_GB2312"/>
          <w:b/>
          <w:bCs/>
          <w:sz w:val="32"/>
          <w:szCs w:val="32"/>
        </w:rPr>
      </w:pPr>
      <w:r>
        <w:rPr>
          <w:rFonts w:hint="eastAsia" w:ascii="楷体" w:hAnsi="楷体" w:eastAsia="楷体" w:cs="楷体"/>
          <w:color w:val="000000"/>
          <w:kern w:val="0"/>
        </w:rPr>
        <w:t>数据来源：招生就业处</w:t>
      </w:r>
    </w:p>
    <w:p>
      <w:pPr>
        <w:spacing w:line="520" w:lineRule="exact"/>
        <w:ind w:firstLine="562" w:firstLineChars="200"/>
        <w:rPr>
          <w:rFonts w:ascii="仿宋_GB2312" w:eastAsia="仿宋_GB2312"/>
          <w:b/>
          <w:bCs/>
          <w:sz w:val="28"/>
          <w:szCs w:val="28"/>
        </w:rPr>
      </w:pPr>
      <w:r>
        <w:rPr>
          <w:rFonts w:hint="eastAsia" w:ascii="仿宋_GB2312" w:eastAsia="仿宋_GB2312"/>
          <w:b/>
          <w:bCs/>
          <w:sz w:val="28"/>
          <w:szCs w:val="28"/>
        </w:rPr>
        <w:t>（3）市政府和学院大力支持创新创业</w:t>
      </w:r>
    </w:p>
    <w:p>
      <w:pPr>
        <w:spacing w:line="520" w:lineRule="exact"/>
        <w:ind w:firstLine="560" w:firstLineChars="200"/>
        <w:rPr>
          <w:rFonts w:ascii="仿宋_GB2312" w:eastAsia="仿宋_GB2312"/>
          <w:b/>
          <w:bCs/>
          <w:sz w:val="32"/>
          <w:szCs w:val="32"/>
        </w:rPr>
      </w:pPr>
      <w:r>
        <w:rPr>
          <w:rFonts w:hint="eastAsia" w:ascii="仿宋_GB2312" w:eastAsia="仿宋_GB2312"/>
          <w:sz w:val="28"/>
          <w:szCs w:val="28"/>
        </w:rPr>
        <w:t>邵阳市政府2016年12月30日印发《邵阳市大众创业万众创新实施方案》。该方案提出开展大学生创新基地建设，为全市大学生创新创业项目提供良好服务；实施大学生创业引领计划；落实优惠政策，减免相关收费等鼓励政策。学院对创业创新有专门经费，对在创业创新竞赛中获奖的学生给予奖励。</w:t>
      </w:r>
    </w:p>
    <w:p>
      <w:pPr>
        <w:spacing w:line="520" w:lineRule="exact"/>
        <w:ind w:firstLine="560" w:firstLineChars="200"/>
        <w:rPr>
          <w:rFonts w:ascii="楷体" w:hAnsi="楷体" w:eastAsia="楷体" w:cs="楷体"/>
          <w:sz w:val="24"/>
          <w:szCs w:val="24"/>
        </w:rPr>
      </w:pPr>
      <w:r>
        <w:rPr>
          <w:rFonts w:hint="eastAsia" w:ascii="仿宋_GB2312" w:eastAsia="仿宋_GB2312"/>
          <w:sz w:val="28"/>
          <w:szCs w:val="28"/>
        </w:rPr>
        <w:t>学院是本市举办大学生科技创新大赛的发源学校，该竞赛项目已成为邵阳市鼓励大学生创新创业的标志性项目，至2017年我院已连续承办三届赛事。学院现设有天悦旅行社、迪优设计梦工厂工作室两</w:t>
      </w:r>
      <w:r>
        <w:rPr>
          <w:rFonts w:hint="eastAsia" w:ascii="仿宋_GB2312" w:eastAsia="仿宋_GB2312"/>
          <w:sz w:val="28"/>
          <w:szCs w:val="28"/>
          <w:lang w:eastAsia="zh-CN"/>
        </w:rPr>
        <w:t>个</w:t>
      </w:r>
      <w:r>
        <w:rPr>
          <w:rFonts w:hint="eastAsia" w:ascii="仿宋_GB2312" w:eastAsia="仿宋_GB2312"/>
          <w:sz w:val="28"/>
          <w:szCs w:val="28"/>
        </w:rPr>
        <w:t>创业孵化</w:t>
      </w:r>
      <w:r>
        <w:rPr>
          <w:rFonts w:hint="eastAsia" w:ascii="仿宋_GB2312" w:eastAsia="仿宋_GB2312"/>
          <w:sz w:val="28"/>
          <w:szCs w:val="28"/>
          <w:lang w:eastAsia="zh-CN"/>
        </w:rPr>
        <w:t>基地</w:t>
      </w:r>
      <w:r>
        <w:rPr>
          <w:rFonts w:hint="eastAsia" w:ascii="仿宋_GB2312" w:eastAsia="仿宋_GB2312"/>
          <w:sz w:val="28"/>
          <w:szCs w:val="28"/>
        </w:rPr>
        <w:t>提供创业实践服务。</w:t>
      </w:r>
    </w:p>
    <w:p>
      <w:pPr>
        <w:rPr>
          <w:rFonts w:ascii="楷体" w:hAnsi="楷体" w:eastAsia="楷体" w:cs="楷体"/>
          <w:sz w:val="28"/>
          <w:szCs w:val="28"/>
        </w:rPr>
      </w:pPr>
      <w:r>
        <w:rPr>
          <w:rFonts w:hint="eastAsia" w:ascii="楷体" w:hAnsi="楷体" w:eastAsia="楷体" w:cs="楷体"/>
          <w:sz w:val="28"/>
          <w:szCs w:val="28"/>
        </w:rPr>
        <w:t>案例2：</w:t>
      </w:r>
    </w:p>
    <w:p>
      <w:pPr>
        <w:spacing w:line="400" w:lineRule="exact"/>
        <w:ind w:firstLine="2409" w:firstLineChars="1000"/>
        <w:rPr>
          <w:rFonts w:ascii="楷体_GB2312" w:hAnsi="楷体_GB2312" w:eastAsia="楷体_GB2312" w:cs="楷体_GB2312"/>
          <w:sz w:val="28"/>
          <w:szCs w:val="28"/>
        </w:rPr>
      </w:pPr>
      <w:r>
        <w:rPr>
          <w:rFonts w:hint="eastAsia" w:ascii="楷体" w:hAnsi="楷体" w:eastAsia="楷体" w:cs="楷体"/>
          <w:b/>
          <w:bCs/>
          <w:sz w:val="24"/>
          <w:szCs w:val="24"/>
        </w:rPr>
        <w:t>吴瑞彪创业典型</w:t>
      </w:r>
      <w:r>
        <w:fldChar w:fldCharType="begin"/>
      </w:r>
      <w:r>
        <w:instrText xml:space="preserve"> HYPERLINK "http://www.gkstk.com/article/shijicailiao.htm" \o "事迹" </w:instrText>
      </w:r>
      <w:r>
        <w:fldChar w:fldCharType="separate"/>
      </w:r>
      <w:r>
        <w:rPr>
          <w:rFonts w:hint="eastAsia" w:ascii="楷体" w:hAnsi="楷体" w:eastAsia="楷体" w:cs="楷体"/>
          <w:b/>
          <w:bCs/>
          <w:sz w:val="24"/>
          <w:szCs w:val="24"/>
        </w:rPr>
        <w:t>事迹</w:t>
      </w:r>
      <w:r>
        <w:rPr>
          <w:rFonts w:hint="eastAsia" w:ascii="楷体" w:hAnsi="楷体" w:eastAsia="楷体" w:cs="楷体"/>
          <w:b/>
          <w:bCs/>
          <w:sz w:val="24"/>
          <w:szCs w:val="24"/>
        </w:rPr>
        <w:fldChar w:fldCharType="end"/>
      </w:r>
      <w:r>
        <w:rPr>
          <w:rFonts w:hint="eastAsia" w:ascii="楷体" w:hAnsi="楷体" w:eastAsia="楷体" w:cs="楷体"/>
          <w:b/>
          <w:bCs/>
          <w:sz w:val="24"/>
          <w:szCs w:val="24"/>
        </w:rPr>
        <w:t>简介</w:t>
      </w:r>
      <w:r>
        <w:rPr>
          <w:rFonts w:hint="eastAsia" w:ascii="楷体_GB2312" w:hAnsi="楷体_GB2312" w:eastAsia="楷体_GB2312" w:cs="楷体_GB2312"/>
          <w:sz w:val="28"/>
          <w:szCs w:val="28"/>
        </w:rPr>
        <w:t xml:space="preserve">                                                                   </w:t>
      </w:r>
    </w:p>
    <w:p>
      <w:pPr>
        <w:spacing w:line="400" w:lineRule="exact"/>
        <w:ind w:firstLine="480" w:firstLineChars="200"/>
        <w:jc w:val="left"/>
        <w:rPr>
          <w:rFonts w:ascii="楷体_GB2312" w:hAnsi="楷体_GB2312" w:eastAsia="楷体_GB2312" w:cs="楷体_GB2312"/>
          <w:sz w:val="24"/>
          <w:szCs w:val="24"/>
        </w:rPr>
      </w:pPr>
    </w:p>
    <w:p>
      <w:pPr>
        <w:spacing w:line="400" w:lineRule="exact"/>
        <w:ind w:firstLine="480" w:firstLineChars="200"/>
        <w:rPr>
          <w:rFonts w:hint="eastAsia" w:ascii="楷体" w:hAnsi="楷体" w:eastAsia="楷体" w:cs="楷体"/>
          <w:sz w:val="24"/>
          <w:szCs w:val="24"/>
        </w:rPr>
      </w:pPr>
      <w:r>
        <w:rPr>
          <w:rFonts w:hint="eastAsia" w:ascii="楷体" w:hAnsi="楷体" w:eastAsia="楷体" w:cs="楷体"/>
          <w:sz w:val="24"/>
          <w:szCs w:val="24"/>
        </w:rPr>
        <w:drawing>
          <wp:anchor distT="0" distB="0" distL="114300" distR="114300" simplePos="0" relativeHeight="251658240" behindDoc="0" locked="0" layoutInCell="1" allowOverlap="1">
            <wp:simplePos x="0" y="0"/>
            <wp:positionH relativeFrom="column">
              <wp:posOffset>191135</wp:posOffset>
            </wp:positionH>
            <wp:positionV relativeFrom="paragraph">
              <wp:posOffset>9525</wp:posOffset>
            </wp:positionV>
            <wp:extent cx="2096770" cy="2658745"/>
            <wp:effectExtent l="0" t="0" r="17780" b="8255"/>
            <wp:wrapSquare wrapText="bothSides"/>
            <wp:docPr id="1" name="图片 2" descr="彭老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彭老师"/>
                    <pic:cNvPicPr>
                      <a:picLocks noChangeAspect="1"/>
                    </pic:cNvPicPr>
                  </pic:nvPicPr>
                  <pic:blipFill>
                    <a:blip r:embed="rId28" cstate="print"/>
                    <a:stretch>
                      <a:fillRect/>
                    </a:stretch>
                  </pic:blipFill>
                  <pic:spPr>
                    <a:xfrm>
                      <a:off x="0" y="0"/>
                      <a:ext cx="2096770" cy="2658745"/>
                    </a:xfrm>
                    <a:prstGeom prst="rect">
                      <a:avLst/>
                    </a:prstGeom>
                    <a:noFill/>
                    <a:ln w="9525">
                      <a:noFill/>
                    </a:ln>
                  </pic:spPr>
                </pic:pic>
              </a:graphicData>
            </a:graphic>
          </wp:anchor>
        </w:drawing>
      </w:r>
      <w:r>
        <w:rPr>
          <w:rFonts w:hint="eastAsia" w:ascii="楷体" w:hAnsi="楷体" w:eastAsia="楷体" w:cs="楷体"/>
          <w:sz w:val="24"/>
          <w:szCs w:val="24"/>
        </w:rPr>
        <w:t>吴瑞彪，深圳市众之创有限公法定代表人、总经理，我院2013届投资与理财专业毕业生。他来自新邵县的一个小山村，家境贫困。</w:t>
      </w:r>
      <w:r>
        <w:rPr>
          <w:rFonts w:hint="eastAsia" w:ascii="楷体" w:hAnsi="楷体" w:eastAsia="楷体" w:cs="楷体"/>
          <w:sz w:val="24"/>
          <w:szCs w:val="24"/>
        </w:rPr>
        <w:br w:type="textWrapping"/>
      </w:r>
      <w:r>
        <w:rPr>
          <w:rFonts w:hint="eastAsia" w:ascii="楷体" w:hAnsi="楷体" w:eastAsia="楷体" w:cs="楷体"/>
          <w:sz w:val="24"/>
          <w:szCs w:val="24"/>
        </w:rPr>
        <w:t>　　在大学时经常听老师说自主创业，他就暗下决心要创办属于自己的公司。2012年底，他只身到深圳从事销售。面对竞争激烈的市场，经过无数次推销失败，不但没有击垮他的进取心，反而成了他积累经验、奋勇直前的动力。通过努力（他自己说是运气），仅仅几个月，他的销售额就跃居榜首，成了销售主管，月收入三万元以上。功夫不负有心人，2015年9月，他用自己在做销售时赚的钱成立了属于自己的公司，注册资本100万元。</w:t>
      </w:r>
    </w:p>
    <w:p>
      <w:pPr>
        <w:spacing w:line="400" w:lineRule="exact"/>
        <w:ind w:firstLine="480" w:firstLineChars="200"/>
        <w:rPr>
          <w:rFonts w:hint="eastAsia" w:ascii="楷体" w:hAnsi="楷体" w:eastAsia="楷体" w:cs="楷体"/>
          <w:sz w:val="24"/>
          <w:szCs w:val="24"/>
        </w:rPr>
      </w:pPr>
      <w:r>
        <w:rPr>
          <w:rFonts w:hint="eastAsia" w:ascii="楷体" w:hAnsi="楷体" w:eastAsia="楷体" w:cs="楷体"/>
          <w:sz w:val="24"/>
          <w:szCs w:val="24"/>
        </w:rPr>
        <w:t>公司是一家专业生产销售载带、上盖带，胶盘,半自动编带机包装机，剥离强度测试仪的生产厂家。 产品能全面满足顾客对多样化需求与品质的严格要求，并确保稳定交货，真正做到优质低价。在2016年经济形势不稳的大背景下，公司产品销售稳定，总销售额达200多万元。</w:t>
      </w:r>
    </w:p>
    <w:p>
      <w:pPr>
        <w:spacing w:line="400" w:lineRule="exact"/>
        <w:ind w:firstLine="480" w:firstLineChars="200"/>
        <w:rPr>
          <w:rFonts w:hint="eastAsia" w:ascii="楷体" w:hAnsi="楷体" w:eastAsia="楷体" w:cs="楷体"/>
          <w:sz w:val="24"/>
          <w:szCs w:val="24"/>
        </w:rPr>
      </w:pPr>
      <w:r>
        <w:rPr>
          <w:rFonts w:hint="eastAsia" w:ascii="楷体" w:hAnsi="楷体" w:eastAsia="楷体" w:cs="楷体"/>
          <w:sz w:val="24"/>
          <w:szCs w:val="24"/>
        </w:rPr>
        <w:t>雄关漫道真如铁，而今迈步从头越。吴瑞彪说现在取得的成绩只是前进道路上的第一步，将和团队在创业道路上义无反顾、勇往直前。他说公司正在准备进行自动化设备的研发和安装，成功后，公司的规模将成倍增长。</w:t>
      </w:r>
    </w:p>
    <w:p>
      <w:pPr>
        <w:spacing w:line="400" w:lineRule="exact"/>
        <w:ind w:firstLine="480" w:firstLineChars="200"/>
        <w:rPr>
          <w:rFonts w:hint="eastAsia" w:ascii="楷体" w:hAnsi="楷体" w:eastAsia="楷体" w:cs="楷体"/>
          <w:sz w:val="24"/>
          <w:szCs w:val="24"/>
        </w:rPr>
      </w:pPr>
      <w:r>
        <w:rPr>
          <w:rFonts w:hint="eastAsia" w:ascii="楷体" w:hAnsi="楷体" w:eastAsia="楷体" w:cs="楷体"/>
          <w:sz w:val="24"/>
          <w:szCs w:val="24"/>
        </w:rPr>
        <w:t>我们相信，在不断地坚持与努力下，吴瑞彪的公司会不断地发展壮大，他在创业道路上会走的更好更远！</w:t>
      </w:r>
    </w:p>
    <w:p>
      <w:pPr>
        <w:spacing w:line="500" w:lineRule="exact"/>
        <w:rPr>
          <w:sz w:val="28"/>
          <w:szCs w:val="28"/>
        </w:rPr>
      </w:pPr>
      <w:r>
        <w:rPr>
          <w:rFonts w:hint="eastAsia" w:ascii="宋体" w:hAnsi="宋体" w:cs="宋体"/>
          <w:color w:val="000000"/>
          <w:sz w:val="24"/>
          <w:szCs w:val="24"/>
          <w:shd w:val="clear" w:color="auto" w:fill="FFFFFF"/>
        </w:rPr>
        <w:t xml:space="preserve">                                       </w:t>
      </w:r>
      <w:r>
        <w:rPr>
          <w:rFonts w:hint="eastAsia" w:ascii="楷体_GB2312" w:hAnsi="楷体_GB2312" w:eastAsia="楷体_GB2312" w:cs="楷体_GB2312"/>
          <w:color w:val="000000"/>
          <w:sz w:val="24"/>
          <w:szCs w:val="24"/>
          <w:shd w:val="clear" w:color="auto" w:fill="FFFFFF"/>
        </w:rPr>
        <w:t xml:space="preserve"> </w:t>
      </w:r>
    </w:p>
    <w:p>
      <w:pPr>
        <w:jc w:val="center"/>
        <w:rPr>
          <w:sz w:val="28"/>
          <w:szCs w:val="28"/>
        </w:rPr>
      </w:pPr>
      <w:r>
        <w:rPr>
          <w:rFonts w:hint="eastAsia"/>
          <w:sz w:val="28"/>
          <w:szCs w:val="28"/>
        </w:rPr>
        <w:drawing>
          <wp:inline distT="0" distB="0" distL="114300" distR="114300">
            <wp:extent cx="1620520" cy="2292350"/>
            <wp:effectExtent l="0" t="0" r="17780" b="12700"/>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29" cstate="print"/>
                    <a:stretch>
                      <a:fillRect/>
                    </a:stretch>
                  </pic:blipFill>
                  <pic:spPr>
                    <a:xfrm>
                      <a:off x="0" y="0"/>
                      <a:ext cx="1620520" cy="2292350"/>
                    </a:xfrm>
                    <a:prstGeom prst="rect">
                      <a:avLst/>
                    </a:prstGeom>
                  </pic:spPr>
                </pic:pic>
              </a:graphicData>
            </a:graphic>
          </wp:inline>
        </w:drawing>
      </w:r>
      <w:r>
        <w:rPr>
          <w:rFonts w:hint="eastAsia"/>
          <w:sz w:val="28"/>
          <w:szCs w:val="28"/>
        </w:rPr>
        <w:t xml:space="preserve">    </w:t>
      </w:r>
      <w:r>
        <w:rPr>
          <w:rFonts w:hint="eastAsia"/>
          <w:sz w:val="28"/>
          <w:szCs w:val="28"/>
        </w:rPr>
        <w:drawing>
          <wp:inline distT="0" distB="0" distL="114300" distR="114300">
            <wp:extent cx="1608455" cy="2145030"/>
            <wp:effectExtent l="0" t="0" r="10795" b="7620"/>
            <wp:docPr id="7" name="图片 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3"/>
                    <pic:cNvPicPr>
                      <a:picLocks noChangeAspect="1"/>
                    </pic:cNvPicPr>
                  </pic:nvPicPr>
                  <pic:blipFill>
                    <a:blip r:embed="rId30" cstate="print"/>
                    <a:stretch>
                      <a:fillRect/>
                    </a:stretch>
                  </pic:blipFill>
                  <pic:spPr>
                    <a:xfrm>
                      <a:off x="0" y="0"/>
                      <a:ext cx="1608455" cy="2145030"/>
                    </a:xfrm>
                    <a:prstGeom prst="rect">
                      <a:avLst/>
                    </a:prstGeom>
                  </pic:spPr>
                </pic:pic>
              </a:graphicData>
            </a:graphic>
          </wp:inline>
        </w:drawing>
      </w:r>
    </w:p>
    <w:p>
      <w:pPr>
        <w:spacing w:line="520" w:lineRule="exact"/>
        <w:rPr>
          <w:rFonts w:ascii="仿宋_GB2312" w:hAnsi="仿宋_GB2312" w:eastAsia="仿宋_GB2312" w:cs="仿宋_GB2312"/>
          <w:b/>
          <w:bCs/>
          <w:sz w:val="28"/>
          <w:szCs w:val="28"/>
        </w:rPr>
      </w:pPr>
      <w:r>
        <w:rPr>
          <w:rFonts w:hint="eastAsia"/>
          <w:sz w:val="28"/>
          <w:szCs w:val="28"/>
        </w:rPr>
        <w:t xml:space="preserve">   </w:t>
      </w:r>
      <w:bookmarkStart w:id="84" w:name="_Toc11032"/>
      <w:bookmarkStart w:id="85" w:name="_Toc14263"/>
      <w:bookmarkStart w:id="86" w:name="_Toc23927"/>
      <w:bookmarkStart w:id="87" w:name="_Toc28992"/>
      <w:bookmarkStart w:id="88" w:name="_Toc18723"/>
      <w:bookmarkStart w:id="89" w:name="_Toc10445"/>
      <w:bookmarkStart w:id="90" w:name="_Toc11140"/>
      <w:r>
        <w:rPr>
          <w:rFonts w:hint="eastAsia" w:ascii="仿宋_GB2312" w:hAnsi="仿宋_GB2312" w:eastAsia="仿宋_GB2312" w:cs="仿宋_GB2312"/>
          <w:b/>
          <w:bCs/>
          <w:sz w:val="28"/>
          <w:szCs w:val="28"/>
        </w:rPr>
        <w:t>2.5计分卡</w:t>
      </w:r>
      <w:bookmarkEnd w:id="84"/>
      <w:bookmarkEnd w:id="85"/>
      <w:bookmarkEnd w:id="86"/>
      <w:bookmarkEnd w:id="87"/>
      <w:bookmarkEnd w:id="88"/>
      <w:bookmarkEnd w:id="89"/>
      <w:bookmarkEnd w:id="90"/>
    </w:p>
    <w:p>
      <w:pPr>
        <w:spacing w:line="520" w:lineRule="exact"/>
        <w:ind w:firstLine="560" w:firstLineChars="200"/>
        <w:rPr>
          <w:rFonts w:ascii="Times New Roman" w:hAnsi="Times New Roman" w:eastAsia="楷体_GB2312"/>
          <w:sz w:val="28"/>
          <w:szCs w:val="28"/>
        </w:rPr>
      </w:pPr>
      <w:r>
        <w:rPr>
          <w:rFonts w:hint="eastAsia" w:ascii="仿宋_GB2312" w:eastAsia="仿宋_GB2312"/>
          <w:sz w:val="28"/>
          <w:szCs w:val="28"/>
        </w:rPr>
        <w:t>“计分卡”各项指标有升有降。2017届与2016届相比，计分卡的7项指标中有6项提升（表2-4），其中自主创业比例和理工农医类专业相关度增幅较高，说明我院人才培养总体情况良好，质量在持续改进。</w:t>
      </w:r>
    </w:p>
    <w:p>
      <w:pPr>
        <w:spacing w:line="560" w:lineRule="exact"/>
        <w:jc w:val="center"/>
        <w:rPr>
          <w:rFonts w:ascii="仿宋_GB2312" w:eastAsia="仿宋_GB2312"/>
          <w:b/>
          <w:bCs/>
          <w:sz w:val="24"/>
          <w:szCs w:val="24"/>
        </w:rPr>
      </w:pPr>
      <w:r>
        <w:rPr>
          <w:rFonts w:hint="eastAsia" w:ascii="仿宋_GB2312" w:eastAsia="仿宋_GB2312"/>
          <w:b/>
          <w:bCs/>
          <w:sz w:val="24"/>
          <w:szCs w:val="24"/>
        </w:rPr>
        <w:t>表</w:t>
      </w:r>
      <w:r>
        <w:rPr>
          <w:rFonts w:hint="eastAsia" w:ascii="Times New Roman" w:hAnsi="Times New Roman" w:eastAsia="仿宋_GB2312"/>
          <w:b/>
          <w:sz w:val="24"/>
        </w:rPr>
        <w:t>2-</w:t>
      </w:r>
      <w:r>
        <w:rPr>
          <w:rFonts w:hint="eastAsia" w:ascii="Times New Roman" w:hAnsi="Times New Roman" w:eastAsia="仿宋_GB2312"/>
          <w:b/>
          <w:sz w:val="24"/>
          <w:lang w:val="en-US" w:eastAsia="zh-CN"/>
        </w:rPr>
        <w:t>5</w:t>
      </w:r>
      <w:r>
        <w:rPr>
          <w:rFonts w:hint="eastAsia" w:ascii="仿宋_GB2312" w:eastAsia="仿宋_GB2312"/>
          <w:b/>
          <w:bCs/>
          <w:sz w:val="24"/>
          <w:szCs w:val="24"/>
        </w:rPr>
        <w:t xml:space="preserve">  计分卡</w:t>
      </w:r>
    </w:p>
    <w:tbl>
      <w:tblPr>
        <w:tblStyle w:val="8"/>
        <w:tblpPr w:leftFromText="180" w:rightFromText="180" w:vertAnchor="text" w:horzAnchor="page" w:tblpX="1807" w:tblpY="304"/>
        <w:tblOverlap w:val="never"/>
        <w:tblW w:w="8396" w:type="dxa"/>
        <w:tblInd w:w="0" w:type="dxa"/>
        <w:tblLayout w:type="fixed"/>
        <w:tblCellMar>
          <w:top w:w="0" w:type="dxa"/>
          <w:left w:w="0" w:type="dxa"/>
          <w:bottom w:w="0" w:type="dxa"/>
          <w:right w:w="0" w:type="dxa"/>
        </w:tblCellMar>
      </w:tblPr>
      <w:tblGrid>
        <w:gridCol w:w="615"/>
        <w:gridCol w:w="617"/>
        <w:gridCol w:w="380"/>
        <w:gridCol w:w="2818"/>
        <w:gridCol w:w="812"/>
        <w:gridCol w:w="994"/>
        <w:gridCol w:w="1005"/>
        <w:gridCol w:w="1155"/>
      </w:tblGrid>
      <w:tr>
        <w:tblPrEx>
          <w:tblLayout w:type="fixed"/>
          <w:tblCellMar>
            <w:top w:w="0" w:type="dxa"/>
            <w:left w:w="0" w:type="dxa"/>
            <w:bottom w:w="0" w:type="dxa"/>
            <w:right w:w="0" w:type="dxa"/>
          </w:tblCellMar>
        </w:tblPrEx>
        <w:trPr>
          <w:trHeight w:val="707" w:hRule="atLeast"/>
        </w:trPr>
        <w:tc>
          <w:tcPr>
            <w:tcW w:w="615" w:type="dxa"/>
            <w:tcBorders>
              <w:top w:val="single" w:color="auto" w:sz="12" w:space="0"/>
              <w:left w:val="single" w:color="auto" w:sz="12" w:space="0"/>
              <w:bottom w:val="single" w:color="auto" w:sz="4" w:space="0"/>
              <w:right w:val="single" w:color="auto" w:sz="4" w:space="0"/>
            </w:tcBorders>
            <w:shd w:val="clear" w:color="auto" w:fill="auto"/>
          </w:tcPr>
          <w:p>
            <w:pPr>
              <w:widowControl/>
              <w:snapToGrid w:val="0"/>
              <w:spacing w:line="312" w:lineRule="auto"/>
              <w:jc w:val="center"/>
              <w:rPr>
                <w:rFonts w:ascii="仿宋_GB2312" w:hAnsi="宋体" w:eastAsia="仿宋_GB2312" w:cs="宋体"/>
                <w:b/>
                <w:bCs/>
                <w:kern w:val="0"/>
                <w:sz w:val="24"/>
                <w:szCs w:val="24"/>
              </w:rPr>
            </w:pPr>
            <w:r>
              <w:rPr>
                <w:rFonts w:hint="eastAsia" w:ascii="仿宋_GB2312" w:hAnsi="宋体" w:eastAsia="仿宋_GB2312" w:cs="宋体"/>
                <w:b/>
                <w:bCs/>
                <w:kern w:val="0"/>
                <w:sz w:val="24"/>
                <w:szCs w:val="24"/>
              </w:rPr>
              <w:t>院校代码</w:t>
            </w:r>
          </w:p>
        </w:tc>
        <w:tc>
          <w:tcPr>
            <w:tcW w:w="617" w:type="dxa"/>
            <w:tcBorders>
              <w:top w:val="single" w:color="auto" w:sz="12" w:space="0"/>
              <w:left w:val="single" w:color="auto" w:sz="4" w:space="0"/>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b/>
                <w:bCs/>
                <w:kern w:val="0"/>
                <w:sz w:val="24"/>
                <w:szCs w:val="24"/>
              </w:rPr>
            </w:pPr>
            <w:r>
              <w:rPr>
                <w:rFonts w:hint="eastAsia" w:ascii="仿宋_GB2312" w:hAnsi="宋体" w:eastAsia="仿宋_GB2312" w:cs="宋体"/>
                <w:b/>
                <w:bCs/>
                <w:kern w:val="0"/>
                <w:sz w:val="24"/>
                <w:szCs w:val="24"/>
              </w:rPr>
              <w:t>院校名称</w:t>
            </w:r>
          </w:p>
        </w:tc>
        <w:tc>
          <w:tcPr>
            <w:tcW w:w="3198"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b/>
                <w:bCs/>
                <w:kern w:val="0"/>
                <w:sz w:val="24"/>
                <w:szCs w:val="24"/>
              </w:rPr>
            </w:pPr>
            <w:r>
              <w:rPr>
                <w:rFonts w:hint="eastAsia" w:ascii="仿宋_GB2312" w:hAnsi="宋体" w:eastAsia="仿宋_GB2312" w:cs="宋体"/>
                <w:b/>
                <w:bCs/>
                <w:kern w:val="0"/>
                <w:sz w:val="24"/>
                <w:szCs w:val="24"/>
              </w:rPr>
              <w:t>指  标</w:t>
            </w:r>
          </w:p>
        </w:tc>
        <w:tc>
          <w:tcPr>
            <w:tcW w:w="812" w:type="dxa"/>
            <w:tcBorders>
              <w:top w:val="single" w:color="auto" w:sz="12" w:space="0"/>
              <w:left w:val="single" w:color="auto" w:sz="4" w:space="0"/>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b/>
                <w:bCs/>
                <w:kern w:val="0"/>
                <w:sz w:val="24"/>
                <w:szCs w:val="24"/>
              </w:rPr>
            </w:pPr>
            <w:r>
              <w:rPr>
                <w:rFonts w:hint="eastAsia" w:ascii="仿宋_GB2312" w:hAnsi="宋体" w:eastAsia="仿宋_GB2312" w:cs="宋体"/>
                <w:b/>
                <w:bCs/>
                <w:kern w:val="0"/>
                <w:sz w:val="24"/>
                <w:szCs w:val="24"/>
              </w:rPr>
              <w:t>单位</w:t>
            </w:r>
          </w:p>
        </w:tc>
        <w:tc>
          <w:tcPr>
            <w:tcW w:w="994" w:type="dxa"/>
            <w:tcBorders>
              <w:top w:val="single" w:color="auto" w:sz="12" w:space="0"/>
              <w:left w:val="single" w:color="auto" w:sz="4" w:space="0"/>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b/>
                <w:bCs/>
                <w:kern w:val="0"/>
                <w:sz w:val="24"/>
                <w:szCs w:val="24"/>
              </w:rPr>
            </w:pPr>
            <w:r>
              <w:rPr>
                <w:rFonts w:hint="eastAsia" w:ascii="Times New Roman" w:hAnsi="Times New Roman" w:eastAsia="仿宋_GB2312"/>
                <w:b/>
                <w:sz w:val="24"/>
              </w:rPr>
              <w:t>2016</w:t>
            </w:r>
            <w:r>
              <w:rPr>
                <w:rFonts w:hint="eastAsia" w:ascii="仿宋_GB2312" w:hAnsi="宋体" w:eastAsia="仿宋_GB2312" w:cs="宋体"/>
                <w:b/>
                <w:bCs/>
                <w:kern w:val="0"/>
                <w:sz w:val="24"/>
                <w:szCs w:val="24"/>
              </w:rPr>
              <w:t>年</w:t>
            </w:r>
          </w:p>
        </w:tc>
        <w:tc>
          <w:tcPr>
            <w:tcW w:w="1005" w:type="dxa"/>
            <w:tcBorders>
              <w:top w:val="single" w:color="auto" w:sz="12" w:space="0"/>
              <w:left w:val="single" w:color="auto" w:sz="4" w:space="0"/>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b/>
                <w:bCs/>
                <w:kern w:val="0"/>
                <w:sz w:val="24"/>
                <w:szCs w:val="24"/>
              </w:rPr>
            </w:pPr>
            <w:r>
              <w:rPr>
                <w:rFonts w:hint="eastAsia" w:ascii="Times New Roman" w:hAnsi="Times New Roman" w:eastAsia="仿宋_GB2312"/>
                <w:b/>
                <w:sz w:val="24"/>
              </w:rPr>
              <w:t>2017</w:t>
            </w:r>
            <w:r>
              <w:rPr>
                <w:rFonts w:hint="eastAsia" w:ascii="仿宋_GB2312" w:hAnsi="宋体" w:eastAsia="仿宋_GB2312" w:cs="宋体"/>
                <w:b/>
                <w:bCs/>
                <w:kern w:val="0"/>
                <w:sz w:val="24"/>
                <w:szCs w:val="24"/>
              </w:rPr>
              <w:t>年</w:t>
            </w:r>
          </w:p>
        </w:tc>
        <w:tc>
          <w:tcPr>
            <w:tcW w:w="1155" w:type="dxa"/>
            <w:tcBorders>
              <w:top w:val="single" w:color="auto" w:sz="12" w:space="0"/>
              <w:left w:val="single" w:color="auto" w:sz="4" w:space="0"/>
              <w:bottom w:val="single" w:color="auto" w:sz="4" w:space="0"/>
              <w:right w:val="single" w:color="auto" w:sz="12" w:space="0"/>
            </w:tcBorders>
            <w:shd w:val="clear" w:color="auto" w:fill="auto"/>
            <w:vAlign w:val="center"/>
          </w:tcPr>
          <w:p>
            <w:pPr>
              <w:widowControl/>
              <w:snapToGrid w:val="0"/>
              <w:spacing w:line="312" w:lineRule="auto"/>
              <w:jc w:val="center"/>
              <w:rPr>
                <w:rFonts w:ascii="仿宋_GB2312" w:hAnsi="宋体" w:eastAsia="仿宋_GB2312" w:cs="宋体"/>
                <w:b/>
                <w:bCs/>
                <w:kern w:val="0"/>
                <w:sz w:val="24"/>
                <w:szCs w:val="24"/>
              </w:rPr>
            </w:pPr>
            <w:r>
              <w:rPr>
                <w:rFonts w:hint="eastAsia" w:ascii="仿宋_GB2312" w:hAnsi="宋体" w:eastAsia="仿宋_GB2312" w:cs="宋体"/>
                <w:b/>
                <w:bCs/>
                <w:kern w:val="0"/>
                <w:sz w:val="24"/>
                <w:szCs w:val="24"/>
              </w:rPr>
              <w:t>增长率</w:t>
            </w:r>
            <w:r>
              <w:rPr>
                <w:rFonts w:hint="eastAsia" w:ascii="仿宋_GB2312" w:hAnsi="宋体" w:eastAsia="仿宋_GB2312" w:cs="宋体"/>
                <w:b/>
                <w:bCs/>
                <w:kern w:val="0"/>
                <w:sz w:val="24"/>
                <w:szCs w:val="24"/>
                <w:lang w:val="en-US" w:eastAsia="zh-CN"/>
              </w:rPr>
              <w:t>(%)</w:t>
            </w:r>
          </w:p>
        </w:tc>
      </w:tr>
      <w:tr>
        <w:tblPrEx>
          <w:tblLayout w:type="fixed"/>
          <w:tblCellMar>
            <w:top w:w="0" w:type="dxa"/>
            <w:left w:w="0" w:type="dxa"/>
            <w:bottom w:w="0" w:type="dxa"/>
            <w:right w:w="0" w:type="dxa"/>
          </w:tblCellMar>
        </w:tblPrEx>
        <w:trPr>
          <w:trHeight w:val="374" w:hRule="atLeast"/>
        </w:trPr>
        <w:tc>
          <w:tcPr>
            <w:tcW w:w="615" w:type="dxa"/>
            <w:vMerge w:val="restart"/>
            <w:tcBorders>
              <w:top w:val="single" w:color="auto" w:sz="4" w:space="0"/>
              <w:left w:val="single" w:color="auto" w:sz="12" w:space="0"/>
              <w:bottom w:val="single" w:color="auto" w:sz="4" w:space="0"/>
              <w:right w:val="single" w:color="auto" w:sz="4" w:space="0"/>
            </w:tcBorders>
            <w:shd w:val="clear" w:color="auto" w:fill="auto"/>
          </w:tcPr>
          <w:p>
            <w:pPr>
              <w:widowControl/>
              <w:snapToGrid w:val="0"/>
              <w:jc w:val="center"/>
              <w:rPr>
                <w:rFonts w:ascii="仿宋_GB2312" w:hAnsi="宋体" w:eastAsia="仿宋_GB2312" w:cs="宋体"/>
                <w:kern w:val="0"/>
                <w:sz w:val="24"/>
                <w:szCs w:val="24"/>
              </w:rPr>
            </w:pPr>
          </w:p>
          <w:p>
            <w:pPr>
              <w:widowControl/>
              <w:snapToGrid w:val="0"/>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w:t>
            </w:r>
          </w:p>
          <w:p>
            <w:pPr>
              <w:widowControl/>
              <w:snapToGrid w:val="0"/>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w:t>
            </w:r>
          </w:p>
          <w:p>
            <w:pPr>
              <w:widowControl/>
              <w:snapToGrid w:val="0"/>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w:t>
            </w:r>
          </w:p>
          <w:p>
            <w:pPr>
              <w:widowControl/>
              <w:snapToGrid w:val="0"/>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0</w:t>
            </w:r>
          </w:p>
          <w:p>
            <w:pPr>
              <w:widowControl/>
              <w:snapToGrid w:val="0"/>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0</w:t>
            </w:r>
          </w:p>
        </w:tc>
        <w:tc>
          <w:tcPr>
            <w:tcW w:w="6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邵阳职业技术学院</w:t>
            </w:r>
          </w:p>
        </w:tc>
        <w:tc>
          <w:tcPr>
            <w:tcW w:w="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w:t>
            </w:r>
          </w:p>
        </w:tc>
        <w:tc>
          <w:tcPr>
            <w:tcW w:w="28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就业率</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w:t>
            </w: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rPr>
            </w:pPr>
            <w:r>
              <w:rPr>
                <w:rFonts w:hint="eastAsia" w:ascii="Times New Roman" w:hAnsi="Times New Roman" w:eastAsia="仿宋_GB2312"/>
              </w:rPr>
              <w:t>94.48</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rPr>
            </w:pPr>
            <w:r>
              <w:rPr>
                <w:rFonts w:hint="eastAsia" w:ascii="Times New Roman" w:hAnsi="Times New Roman" w:eastAsia="仿宋_GB2312"/>
              </w:rPr>
              <w:t>94.01</w:t>
            </w:r>
          </w:p>
        </w:tc>
        <w:tc>
          <w:tcPr>
            <w:tcW w:w="1155" w:type="dxa"/>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rFonts w:ascii="Times New Roman" w:hAnsi="Times New Roman" w:eastAsia="仿宋_GB2312"/>
              </w:rPr>
            </w:pPr>
            <w:r>
              <w:rPr>
                <w:rFonts w:hint="eastAsia" w:ascii="Times New Roman" w:hAnsi="Times New Roman" w:eastAsia="仿宋_GB2312"/>
              </w:rPr>
              <w:t>-0.</w:t>
            </w:r>
            <w:r>
              <w:rPr>
                <w:rFonts w:hint="eastAsia" w:ascii="Times New Roman" w:hAnsi="Times New Roman" w:eastAsia="仿宋_GB2312"/>
                <w:lang w:val="en-US" w:eastAsia="zh-CN"/>
              </w:rPr>
              <w:t>47</w:t>
            </w:r>
          </w:p>
        </w:tc>
      </w:tr>
      <w:tr>
        <w:tblPrEx>
          <w:tblLayout w:type="fixed"/>
          <w:tblCellMar>
            <w:top w:w="0" w:type="dxa"/>
            <w:left w:w="0" w:type="dxa"/>
            <w:bottom w:w="0" w:type="dxa"/>
            <w:right w:w="0" w:type="dxa"/>
          </w:tblCellMar>
        </w:tblPrEx>
        <w:trPr>
          <w:trHeight w:val="374" w:hRule="atLeast"/>
        </w:trPr>
        <w:tc>
          <w:tcPr>
            <w:tcW w:w="615" w:type="dxa"/>
            <w:vMerge w:val="continue"/>
            <w:tcBorders>
              <w:top w:val="single" w:color="auto" w:sz="4" w:space="0"/>
              <w:left w:val="single" w:color="auto" w:sz="12" w:space="0"/>
              <w:bottom w:val="single" w:color="auto" w:sz="4" w:space="0"/>
              <w:right w:val="single" w:color="auto" w:sz="4" w:space="0"/>
            </w:tcBorders>
            <w:shd w:val="clear" w:color="auto" w:fill="auto"/>
          </w:tcPr>
          <w:p>
            <w:pPr>
              <w:widowControl/>
              <w:snapToGrid w:val="0"/>
              <w:jc w:val="center"/>
              <w:rPr>
                <w:rFonts w:ascii="仿宋_GB2312" w:hAnsi="宋体" w:eastAsia="仿宋_GB2312" w:cs="宋体"/>
                <w:kern w:val="0"/>
                <w:sz w:val="24"/>
                <w:szCs w:val="24"/>
              </w:rPr>
            </w:pPr>
          </w:p>
        </w:tc>
        <w:tc>
          <w:tcPr>
            <w:tcW w:w="617" w:type="dxa"/>
            <w:vMerge w:val="continue"/>
            <w:tcBorders>
              <w:top w:val="single" w:color="auto" w:sz="4" w:space="0"/>
              <w:left w:val="single" w:color="auto" w:sz="4" w:space="0"/>
              <w:bottom w:val="single" w:color="auto" w:sz="4" w:space="0"/>
              <w:right w:val="single" w:color="auto" w:sz="4" w:space="0"/>
            </w:tcBorders>
            <w:shd w:val="clear" w:color="auto" w:fill="auto"/>
          </w:tcPr>
          <w:p>
            <w:pPr>
              <w:widowControl/>
              <w:snapToGrid w:val="0"/>
              <w:jc w:val="center"/>
              <w:rPr>
                <w:rFonts w:ascii="仿宋_GB2312" w:hAnsi="宋体" w:eastAsia="仿宋_GB2312" w:cs="宋体"/>
                <w:kern w:val="0"/>
                <w:sz w:val="24"/>
                <w:szCs w:val="24"/>
              </w:rPr>
            </w:pPr>
          </w:p>
        </w:tc>
        <w:tc>
          <w:tcPr>
            <w:tcW w:w="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w:t>
            </w:r>
          </w:p>
        </w:tc>
        <w:tc>
          <w:tcPr>
            <w:tcW w:w="28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月收入</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元</w:t>
            </w: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rPr>
            </w:pPr>
            <w:r>
              <w:rPr>
                <w:rFonts w:hint="eastAsia" w:ascii="Times New Roman" w:hAnsi="Times New Roman" w:eastAsia="仿宋_GB2312"/>
              </w:rPr>
              <w:t>3200</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rPr>
            </w:pPr>
            <w:r>
              <w:rPr>
                <w:rFonts w:hint="eastAsia" w:ascii="Times New Roman" w:hAnsi="Times New Roman" w:eastAsia="仿宋_GB2312"/>
              </w:rPr>
              <w:t>3600</w:t>
            </w:r>
          </w:p>
        </w:tc>
        <w:tc>
          <w:tcPr>
            <w:tcW w:w="1155" w:type="dxa"/>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rFonts w:ascii="Times New Roman" w:hAnsi="Times New Roman" w:eastAsia="仿宋_GB2312"/>
              </w:rPr>
            </w:pPr>
            <w:r>
              <w:rPr>
                <w:rFonts w:hint="eastAsia" w:ascii="Times New Roman" w:hAnsi="Times New Roman" w:eastAsia="仿宋_GB2312"/>
              </w:rPr>
              <w:t>12.</w:t>
            </w:r>
            <w:r>
              <w:rPr>
                <w:rFonts w:hint="eastAsia" w:ascii="Times New Roman" w:hAnsi="Times New Roman" w:eastAsia="仿宋_GB2312"/>
                <w:lang w:val="en-US" w:eastAsia="zh-CN"/>
              </w:rPr>
              <w:t>5</w:t>
            </w:r>
          </w:p>
        </w:tc>
      </w:tr>
      <w:tr>
        <w:tblPrEx>
          <w:tblLayout w:type="fixed"/>
          <w:tblCellMar>
            <w:top w:w="0" w:type="dxa"/>
            <w:left w:w="0" w:type="dxa"/>
            <w:bottom w:w="0" w:type="dxa"/>
            <w:right w:w="0" w:type="dxa"/>
          </w:tblCellMar>
        </w:tblPrEx>
        <w:trPr>
          <w:trHeight w:val="374" w:hRule="atLeast"/>
        </w:trPr>
        <w:tc>
          <w:tcPr>
            <w:tcW w:w="615" w:type="dxa"/>
            <w:vMerge w:val="continue"/>
            <w:tcBorders>
              <w:top w:val="single" w:color="auto" w:sz="4" w:space="0"/>
              <w:left w:val="single" w:color="auto" w:sz="12" w:space="0"/>
              <w:bottom w:val="single" w:color="auto" w:sz="4" w:space="0"/>
              <w:right w:val="single" w:color="auto" w:sz="4" w:space="0"/>
            </w:tcBorders>
            <w:shd w:val="clear" w:color="auto" w:fill="auto"/>
          </w:tcPr>
          <w:p>
            <w:pPr>
              <w:widowControl/>
              <w:snapToGrid w:val="0"/>
              <w:ind w:firstLine="120" w:firstLineChars="50"/>
              <w:rPr>
                <w:rFonts w:ascii="仿宋_GB2312" w:hAnsi="宋体" w:eastAsia="仿宋_GB2312" w:cs="宋体"/>
                <w:kern w:val="0"/>
                <w:sz w:val="24"/>
                <w:szCs w:val="24"/>
              </w:rPr>
            </w:pPr>
          </w:p>
        </w:tc>
        <w:tc>
          <w:tcPr>
            <w:tcW w:w="617" w:type="dxa"/>
            <w:vMerge w:val="continue"/>
            <w:tcBorders>
              <w:top w:val="single" w:color="auto" w:sz="4" w:space="0"/>
              <w:left w:val="single" w:color="auto" w:sz="4" w:space="0"/>
              <w:bottom w:val="single" w:color="auto" w:sz="4" w:space="0"/>
              <w:right w:val="single" w:color="auto" w:sz="4" w:space="0"/>
            </w:tcBorders>
            <w:shd w:val="clear" w:color="auto" w:fill="auto"/>
          </w:tcPr>
          <w:p>
            <w:pPr>
              <w:widowControl/>
              <w:snapToGrid w:val="0"/>
              <w:ind w:firstLine="120" w:firstLineChars="50"/>
              <w:rPr>
                <w:rFonts w:ascii="仿宋_GB2312" w:hAnsi="宋体" w:eastAsia="仿宋_GB2312" w:cs="宋体"/>
                <w:kern w:val="0"/>
                <w:sz w:val="24"/>
                <w:szCs w:val="24"/>
              </w:rPr>
            </w:pPr>
          </w:p>
        </w:tc>
        <w:tc>
          <w:tcPr>
            <w:tcW w:w="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w:t>
            </w:r>
          </w:p>
        </w:tc>
        <w:tc>
          <w:tcPr>
            <w:tcW w:w="28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理工农医类专业相关度</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w:t>
            </w: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rPr>
            </w:pPr>
            <w:r>
              <w:rPr>
                <w:rFonts w:hint="eastAsia" w:ascii="Times New Roman" w:hAnsi="Times New Roman" w:eastAsia="仿宋_GB2312"/>
              </w:rPr>
              <w:t>76</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rPr>
            </w:pPr>
            <w:r>
              <w:rPr>
                <w:rFonts w:hint="eastAsia" w:ascii="Times New Roman" w:hAnsi="Times New Roman" w:eastAsia="仿宋_GB2312"/>
              </w:rPr>
              <w:t>94.31</w:t>
            </w:r>
          </w:p>
        </w:tc>
        <w:tc>
          <w:tcPr>
            <w:tcW w:w="1155" w:type="dxa"/>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rFonts w:hint="eastAsia" w:ascii="Times New Roman" w:hAnsi="Times New Roman" w:eastAsia="仿宋_GB2312"/>
                <w:lang w:val="en-US" w:eastAsia="zh-CN"/>
              </w:rPr>
            </w:pPr>
            <w:r>
              <w:rPr>
                <w:rFonts w:hint="eastAsia" w:ascii="Times New Roman" w:hAnsi="Times New Roman" w:eastAsia="仿宋_GB2312"/>
                <w:lang w:val="en-US" w:eastAsia="zh-CN"/>
              </w:rPr>
              <w:t>18.31</w:t>
            </w:r>
          </w:p>
        </w:tc>
      </w:tr>
      <w:tr>
        <w:tblPrEx>
          <w:tblLayout w:type="fixed"/>
          <w:tblCellMar>
            <w:top w:w="0" w:type="dxa"/>
            <w:left w:w="0" w:type="dxa"/>
            <w:bottom w:w="0" w:type="dxa"/>
            <w:right w:w="0" w:type="dxa"/>
          </w:tblCellMar>
        </w:tblPrEx>
        <w:trPr>
          <w:trHeight w:val="374" w:hRule="atLeast"/>
        </w:trPr>
        <w:tc>
          <w:tcPr>
            <w:tcW w:w="615" w:type="dxa"/>
            <w:vMerge w:val="continue"/>
            <w:tcBorders>
              <w:top w:val="single" w:color="auto" w:sz="4" w:space="0"/>
              <w:left w:val="single" w:color="auto" w:sz="12" w:space="0"/>
              <w:bottom w:val="single" w:color="auto" w:sz="4" w:space="0"/>
              <w:right w:val="single" w:color="auto" w:sz="4" w:space="0"/>
            </w:tcBorders>
            <w:shd w:val="clear" w:color="auto" w:fill="auto"/>
          </w:tcPr>
          <w:p>
            <w:pPr>
              <w:widowControl/>
              <w:snapToGrid w:val="0"/>
              <w:ind w:firstLine="120" w:firstLineChars="50"/>
              <w:rPr>
                <w:rFonts w:ascii="仿宋_GB2312" w:hAnsi="宋体" w:eastAsia="仿宋_GB2312" w:cs="宋体"/>
                <w:kern w:val="0"/>
                <w:sz w:val="24"/>
                <w:szCs w:val="24"/>
              </w:rPr>
            </w:pPr>
          </w:p>
        </w:tc>
        <w:tc>
          <w:tcPr>
            <w:tcW w:w="617" w:type="dxa"/>
            <w:vMerge w:val="continue"/>
            <w:tcBorders>
              <w:top w:val="single" w:color="auto" w:sz="4" w:space="0"/>
              <w:left w:val="single" w:color="auto" w:sz="4" w:space="0"/>
              <w:bottom w:val="single" w:color="auto" w:sz="4" w:space="0"/>
              <w:right w:val="single" w:color="auto" w:sz="4" w:space="0"/>
            </w:tcBorders>
            <w:shd w:val="clear" w:color="auto" w:fill="auto"/>
          </w:tcPr>
          <w:p>
            <w:pPr>
              <w:widowControl/>
              <w:snapToGrid w:val="0"/>
              <w:ind w:firstLine="120" w:firstLineChars="50"/>
              <w:rPr>
                <w:rFonts w:ascii="仿宋_GB2312" w:hAnsi="宋体" w:eastAsia="仿宋_GB2312" w:cs="宋体"/>
                <w:kern w:val="0"/>
                <w:sz w:val="24"/>
                <w:szCs w:val="24"/>
              </w:rPr>
            </w:pPr>
          </w:p>
        </w:tc>
        <w:tc>
          <w:tcPr>
            <w:tcW w:w="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w:t>
            </w:r>
          </w:p>
        </w:tc>
        <w:tc>
          <w:tcPr>
            <w:tcW w:w="28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母校满意度</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w:t>
            </w: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rPr>
            </w:pPr>
            <w:r>
              <w:rPr>
                <w:rFonts w:hint="eastAsia" w:ascii="Times New Roman" w:hAnsi="Times New Roman" w:eastAsia="仿宋_GB2312"/>
              </w:rPr>
              <w:t>93</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rPr>
            </w:pPr>
            <w:r>
              <w:rPr>
                <w:rFonts w:hint="eastAsia" w:ascii="Times New Roman" w:hAnsi="Times New Roman" w:eastAsia="仿宋_GB2312"/>
              </w:rPr>
              <w:t>9</w:t>
            </w:r>
            <w:r>
              <w:rPr>
                <w:rFonts w:hint="eastAsia" w:ascii="Times New Roman" w:hAnsi="Times New Roman" w:eastAsia="仿宋_GB2312"/>
                <w:lang w:val="en-US" w:eastAsia="zh-CN"/>
              </w:rPr>
              <w:t>4</w:t>
            </w:r>
          </w:p>
        </w:tc>
        <w:tc>
          <w:tcPr>
            <w:tcW w:w="1155" w:type="dxa"/>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rFonts w:ascii="Times New Roman" w:hAnsi="Times New Roman" w:eastAsia="仿宋_GB2312"/>
              </w:rPr>
            </w:pPr>
            <w:r>
              <w:rPr>
                <w:rFonts w:hint="eastAsia" w:ascii="Times New Roman" w:hAnsi="Times New Roman" w:eastAsia="仿宋_GB2312"/>
              </w:rPr>
              <w:t>1</w:t>
            </w:r>
          </w:p>
        </w:tc>
      </w:tr>
      <w:tr>
        <w:tblPrEx>
          <w:tblLayout w:type="fixed"/>
          <w:tblCellMar>
            <w:top w:w="0" w:type="dxa"/>
            <w:left w:w="0" w:type="dxa"/>
            <w:bottom w:w="0" w:type="dxa"/>
            <w:right w:w="0" w:type="dxa"/>
          </w:tblCellMar>
        </w:tblPrEx>
        <w:trPr>
          <w:trHeight w:val="374" w:hRule="atLeast"/>
        </w:trPr>
        <w:tc>
          <w:tcPr>
            <w:tcW w:w="615" w:type="dxa"/>
            <w:vMerge w:val="continue"/>
            <w:tcBorders>
              <w:top w:val="single" w:color="auto" w:sz="4" w:space="0"/>
              <w:left w:val="single" w:color="auto" w:sz="12" w:space="0"/>
              <w:bottom w:val="single" w:color="auto" w:sz="4" w:space="0"/>
              <w:right w:val="single" w:color="auto" w:sz="4" w:space="0"/>
            </w:tcBorders>
            <w:shd w:val="clear" w:color="auto" w:fill="auto"/>
          </w:tcPr>
          <w:p>
            <w:pPr>
              <w:widowControl/>
              <w:snapToGrid w:val="0"/>
              <w:jc w:val="center"/>
              <w:rPr>
                <w:rFonts w:ascii="仿宋_GB2312" w:hAnsi="宋体" w:eastAsia="仿宋_GB2312" w:cs="宋体"/>
                <w:kern w:val="0"/>
                <w:sz w:val="24"/>
                <w:szCs w:val="24"/>
              </w:rPr>
            </w:pPr>
          </w:p>
        </w:tc>
        <w:tc>
          <w:tcPr>
            <w:tcW w:w="617" w:type="dxa"/>
            <w:vMerge w:val="continue"/>
            <w:tcBorders>
              <w:top w:val="single" w:color="auto" w:sz="4" w:space="0"/>
              <w:left w:val="single" w:color="auto" w:sz="4" w:space="0"/>
              <w:bottom w:val="single" w:color="auto" w:sz="4" w:space="0"/>
              <w:right w:val="single" w:color="auto" w:sz="4" w:space="0"/>
            </w:tcBorders>
            <w:shd w:val="clear" w:color="auto" w:fill="auto"/>
          </w:tcPr>
          <w:p>
            <w:pPr>
              <w:widowControl/>
              <w:snapToGrid w:val="0"/>
              <w:jc w:val="center"/>
              <w:rPr>
                <w:rFonts w:ascii="仿宋_GB2312" w:hAnsi="宋体" w:eastAsia="仿宋_GB2312" w:cs="宋体"/>
                <w:kern w:val="0"/>
                <w:sz w:val="24"/>
                <w:szCs w:val="24"/>
              </w:rPr>
            </w:pPr>
          </w:p>
        </w:tc>
        <w:tc>
          <w:tcPr>
            <w:tcW w:w="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w:t>
            </w:r>
          </w:p>
        </w:tc>
        <w:tc>
          <w:tcPr>
            <w:tcW w:w="28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自主创业比例</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w:t>
            </w: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rPr>
            </w:pPr>
            <w:r>
              <w:rPr>
                <w:rFonts w:hint="eastAsia" w:ascii="Times New Roman" w:hAnsi="Times New Roman" w:eastAsia="仿宋_GB2312"/>
              </w:rPr>
              <w:t>0.33</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rPr>
            </w:pPr>
            <w:r>
              <w:rPr>
                <w:rFonts w:hint="eastAsia" w:ascii="Times New Roman" w:hAnsi="Times New Roman" w:eastAsia="仿宋_GB2312"/>
              </w:rPr>
              <w:t>0.93</w:t>
            </w:r>
          </w:p>
        </w:tc>
        <w:tc>
          <w:tcPr>
            <w:tcW w:w="1155" w:type="dxa"/>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rFonts w:ascii="Times New Roman" w:hAnsi="Times New Roman" w:eastAsia="仿宋_GB2312"/>
              </w:rPr>
            </w:pPr>
            <w:r>
              <w:rPr>
                <w:rFonts w:hint="eastAsia" w:ascii="Times New Roman" w:hAnsi="Times New Roman" w:eastAsia="仿宋_GB2312"/>
                <w:lang w:val="en-US" w:eastAsia="zh-CN"/>
              </w:rPr>
              <w:t>0.6</w:t>
            </w:r>
          </w:p>
        </w:tc>
      </w:tr>
      <w:tr>
        <w:tblPrEx>
          <w:tblLayout w:type="fixed"/>
          <w:tblCellMar>
            <w:top w:w="0" w:type="dxa"/>
            <w:left w:w="0" w:type="dxa"/>
            <w:bottom w:w="0" w:type="dxa"/>
            <w:right w:w="0" w:type="dxa"/>
          </w:tblCellMar>
        </w:tblPrEx>
        <w:trPr>
          <w:trHeight w:val="374" w:hRule="atLeast"/>
        </w:trPr>
        <w:tc>
          <w:tcPr>
            <w:tcW w:w="615" w:type="dxa"/>
            <w:vMerge w:val="continue"/>
            <w:tcBorders>
              <w:top w:val="single" w:color="auto" w:sz="4" w:space="0"/>
              <w:left w:val="single" w:color="auto" w:sz="12" w:space="0"/>
              <w:bottom w:val="single" w:color="auto" w:sz="4" w:space="0"/>
              <w:right w:val="single" w:color="auto" w:sz="4" w:space="0"/>
            </w:tcBorders>
            <w:shd w:val="clear" w:color="auto" w:fill="auto"/>
          </w:tcPr>
          <w:p>
            <w:pPr>
              <w:widowControl/>
              <w:snapToGrid w:val="0"/>
              <w:jc w:val="center"/>
              <w:rPr>
                <w:rFonts w:ascii="仿宋_GB2312" w:hAnsi="宋体" w:eastAsia="仿宋_GB2312" w:cs="宋体"/>
                <w:kern w:val="0"/>
                <w:sz w:val="24"/>
                <w:szCs w:val="24"/>
              </w:rPr>
            </w:pPr>
          </w:p>
        </w:tc>
        <w:tc>
          <w:tcPr>
            <w:tcW w:w="617" w:type="dxa"/>
            <w:vMerge w:val="continue"/>
            <w:tcBorders>
              <w:top w:val="single" w:color="auto" w:sz="4" w:space="0"/>
              <w:left w:val="single" w:color="auto" w:sz="4" w:space="0"/>
              <w:bottom w:val="single" w:color="auto" w:sz="4" w:space="0"/>
              <w:right w:val="single" w:color="auto" w:sz="4" w:space="0"/>
            </w:tcBorders>
            <w:shd w:val="clear" w:color="auto" w:fill="auto"/>
          </w:tcPr>
          <w:p>
            <w:pPr>
              <w:widowControl/>
              <w:snapToGrid w:val="0"/>
              <w:jc w:val="center"/>
              <w:rPr>
                <w:rFonts w:ascii="仿宋_GB2312" w:hAnsi="宋体" w:eastAsia="仿宋_GB2312" w:cs="宋体"/>
                <w:kern w:val="0"/>
                <w:sz w:val="24"/>
                <w:szCs w:val="24"/>
              </w:rPr>
            </w:pPr>
          </w:p>
        </w:tc>
        <w:tc>
          <w:tcPr>
            <w:tcW w:w="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w:t>
            </w:r>
          </w:p>
        </w:tc>
        <w:tc>
          <w:tcPr>
            <w:tcW w:w="28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雇主满意度</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w:t>
            </w: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rPr>
            </w:pPr>
            <w:r>
              <w:rPr>
                <w:rFonts w:hint="eastAsia" w:ascii="Times New Roman" w:hAnsi="Times New Roman" w:eastAsia="仿宋_GB2312"/>
              </w:rPr>
              <w:t>91</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rPr>
            </w:pPr>
            <w:r>
              <w:rPr>
                <w:rFonts w:hint="eastAsia" w:ascii="Times New Roman" w:hAnsi="Times New Roman" w:eastAsia="仿宋_GB2312"/>
              </w:rPr>
              <w:t>96</w:t>
            </w:r>
          </w:p>
        </w:tc>
        <w:tc>
          <w:tcPr>
            <w:tcW w:w="1155" w:type="dxa"/>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rFonts w:ascii="Times New Roman" w:hAnsi="Times New Roman" w:eastAsia="仿宋_GB2312"/>
              </w:rPr>
            </w:pPr>
            <w:r>
              <w:rPr>
                <w:rFonts w:hint="eastAsia" w:ascii="Times New Roman" w:hAnsi="Times New Roman" w:eastAsia="仿宋_GB2312"/>
              </w:rPr>
              <w:t>5</w:t>
            </w:r>
          </w:p>
        </w:tc>
      </w:tr>
      <w:tr>
        <w:tblPrEx>
          <w:tblLayout w:type="fixed"/>
          <w:tblCellMar>
            <w:top w:w="0" w:type="dxa"/>
            <w:left w:w="0" w:type="dxa"/>
            <w:bottom w:w="0" w:type="dxa"/>
            <w:right w:w="0" w:type="dxa"/>
          </w:tblCellMar>
        </w:tblPrEx>
        <w:trPr>
          <w:trHeight w:val="374" w:hRule="atLeast"/>
        </w:trPr>
        <w:tc>
          <w:tcPr>
            <w:tcW w:w="615" w:type="dxa"/>
            <w:vMerge w:val="continue"/>
            <w:tcBorders>
              <w:top w:val="single" w:color="auto" w:sz="4" w:space="0"/>
              <w:left w:val="single" w:color="auto" w:sz="12" w:space="0"/>
              <w:bottom w:val="single" w:color="auto" w:sz="12" w:space="0"/>
              <w:right w:val="single" w:color="auto" w:sz="4" w:space="0"/>
            </w:tcBorders>
            <w:shd w:val="clear" w:color="auto" w:fill="auto"/>
          </w:tcPr>
          <w:p>
            <w:pPr>
              <w:widowControl/>
              <w:snapToGrid w:val="0"/>
              <w:jc w:val="center"/>
              <w:rPr>
                <w:rFonts w:ascii="仿宋_GB2312" w:hAnsi="宋体" w:eastAsia="仿宋_GB2312" w:cs="宋体"/>
                <w:kern w:val="0"/>
                <w:sz w:val="24"/>
                <w:szCs w:val="24"/>
              </w:rPr>
            </w:pPr>
          </w:p>
        </w:tc>
        <w:tc>
          <w:tcPr>
            <w:tcW w:w="617" w:type="dxa"/>
            <w:vMerge w:val="continue"/>
            <w:tcBorders>
              <w:top w:val="single" w:color="auto" w:sz="4" w:space="0"/>
              <w:left w:val="single" w:color="auto" w:sz="4" w:space="0"/>
              <w:bottom w:val="single" w:color="auto" w:sz="12" w:space="0"/>
              <w:right w:val="single" w:color="auto" w:sz="4" w:space="0"/>
            </w:tcBorders>
            <w:shd w:val="clear" w:color="auto" w:fill="auto"/>
          </w:tcPr>
          <w:p>
            <w:pPr>
              <w:widowControl/>
              <w:snapToGrid w:val="0"/>
              <w:jc w:val="center"/>
              <w:rPr>
                <w:rFonts w:ascii="仿宋_GB2312" w:hAnsi="宋体" w:eastAsia="仿宋_GB2312" w:cs="宋体"/>
                <w:kern w:val="0"/>
                <w:sz w:val="24"/>
                <w:szCs w:val="24"/>
              </w:rPr>
            </w:pPr>
          </w:p>
        </w:tc>
        <w:tc>
          <w:tcPr>
            <w:tcW w:w="380"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w:t>
            </w:r>
          </w:p>
        </w:tc>
        <w:tc>
          <w:tcPr>
            <w:tcW w:w="2818"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毕业三年职位晋升比例</w:t>
            </w:r>
          </w:p>
        </w:tc>
        <w:tc>
          <w:tcPr>
            <w:tcW w:w="812"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w:t>
            </w:r>
          </w:p>
        </w:tc>
        <w:tc>
          <w:tcPr>
            <w:tcW w:w="994" w:type="dxa"/>
            <w:tcBorders>
              <w:top w:val="single" w:color="auto" w:sz="4" w:space="0"/>
              <w:left w:val="single" w:color="auto" w:sz="4" w:space="0"/>
              <w:bottom w:val="single" w:color="auto" w:sz="12" w:space="0"/>
              <w:right w:val="single" w:color="auto" w:sz="4" w:space="0"/>
            </w:tcBorders>
            <w:shd w:val="clear" w:color="auto" w:fill="auto"/>
            <w:vAlign w:val="center"/>
          </w:tcPr>
          <w:p>
            <w:pPr>
              <w:jc w:val="center"/>
              <w:rPr>
                <w:rFonts w:ascii="Times New Roman" w:hAnsi="Times New Roman" w:eastAsia="仿宋_GB2312"/>
              </w:rPr>
            </w:pPr>
            <w:r>
              <w:rPr>
                <w:rFonts w:hint="eastAsia" w:ascii="Times New Roman" w:hAnsi="Times New Roman" w:eastAsia="仿宋_GB2312"/>
              </w:rPr>
              <w:t>80</w:t>
            </w:r>
          </w:p>
        </w:tc>
        <w:tc>
          <w:tcPr>
            <w:tcW w:w="1005" w:type="dxa"/>
            <w:tcBorders>
              <w:top w:val="single" w:color="auto" w:sz="4" w:space="0"/>
              <w:left w:val="single" w:color="auto" w:sz="4" w:space="0"/>
              <w:bottom w:val="single" w:color="auto" w:sz="12" w:space="0"/>
              <w:right w:val="single" w:color="auto" w:sz="4" w:space="0"/>
            </w:tcBorders>
            <w:shd w:val="clear" w:color="auto" w:fill="auto"/>
            <w:vAlign w:val="center"/>
          </w:tcPr>
          <w:p>
            <w:pPr>
              <w:jc w:val="center"/>
              <w:rPr>
                <w:rFonts w:ascii="Times New Roman" w:hAnsi="Times New Roman" w:eastAsia="仿宋_GB2312"/>
              </w:rPr>
            </w:pPr>
            <w:r>
              <w:rPr>
                <w:rFonts w:hint="eastAsia" w:ascii="Times New Roman" w:hAnsi="Times New Roman" w:eastAsia="仿宋_GB2312"/>
              </w:rPr>
              <w:t>82</w:t>
            </w:r>
          </w:p>
        </w:tc>
        <w:tc>
          <w:tcPr>
            <w:tcW w:w="1155" w:type="dxa"/>
            <w:tcBorders>
              <w:top w:val="single" w:color="auto" w:sz="4" w:space="0"/>
              <w:left w:val="single" w:color="auto" w:sz="4" w:space="0"/>
              <w:bottom w:val="single" w:color="auto" w:sz="12" w:space="0"/>
              <w:right w:val="single" w:color="auto" w:sz="12" w:space="0"/>
            </w:tcBorders>
            <w:shd w:val="clear" w:color="auto" w:fill="auto"/>
            <w:vAlign w:val="center"/>
          </w:tcPr>
          <w:p>
            <w:pPr>
              <w:jc w:val="center"/>
              <w:rPr>
                <w:rFonts w:ascii="Times New Roman" w:hAnsi="Times New Roman" w:eastAsia="仿宋_GB2312"/>
              </w:rPr>
            </w:pPr>
            <w:r>
              <w:rPr>
                <w:rFonts w:hint="eastAsia" w:ascii="Times New Roman" w:hAnsi="Times New Roman" w:eastAsia="仿宋_GB2312"/>
              </w:rPr>
              <w:t>2</w:t>
            </w:r>
          </w:p>
        </w:tc>
      </w:tr>
    </w:tbl>
    <w:p>
      <w:pPr>
        <w:jc w:val="center"/>
        <w:rPr>
          <w:rFonts w:ascii="Times New Roman" w:hAnsi="Times New Roman" w:eastAsia="楷体_GB2312"/>
        </w:rPr>
      </w:pPr>
      <w:r>
        <w:rPr>
          <w:rFonts w:hint="eastAsia" w:ascii="Times New Roman" w:hAnsi="Times New Roman" w:eastAsia="楷体_GB2312"/>
        </w:rPr>
        <w:t>数据来源：招生就业处</w:t>
      </w:r>
    </w:p>
    <w:p>
      <w:pPr>
        <w:rPr>
          <w:rFonts w:ascii="黑体" w:hAnsi="黑体" w:eastAsia="黑体" w:cs="黑体"/>
          <w:sz w:val="32"/>
          <w:szCs w:val="32"/>
        </w:rPr>
      </w:pPr>
      <w:bookmarkStart w:id="91" w:name="_Toc24189"/>
      <w:bookmarkStart w:id="92" w:name="_Toc26563"/>
      <w:bookmarkStart w:id="93" w:name="_Toc20551"/>
    </w:p>
    <w:p>
      <w:pPr>
        <w:rPr>
          <w:rFonts w:ascii="黑体" w:hAnsi="黑体" w:eastAsia="黑体" w:cs="黑体"/>
          <w:sz w:val="32"/>
          <w:szCs w:val="32"/>
        </w:rPr>
      </w:pPr>
      <w:bookmarkStart w:id="94" w:name="_Toc4529"/>
      <w:bookmarkStart w:id="95" w:name="_Toc21186"/>
      <w:bookmarkStart w:id="96" w:name="_Toc19961"/>
      <w:bookmarkStart w:id="97" w:name="_Toc13073"/>
      <w:r>
        <w:rPr>
          <w:rFonts w:hint="eastAsia" w:ascii="黑体" w:hAnsi="黑体" w:eastAsia="黑体" w:cs="黑体"/>
          <w:sz w:val="32"/>
          <w:szCs w:val="32"/>
        </w:rPr>
        <w:t>3.教育教学</w:t>
      </w:r>
      <w:bookmarkEnd w:id="91"/>
      <w:bookmarkEnd w:id="92"/>
      <w:bookmarkEnd w:id="93"/>
      <w:bookmarkEnd w:id="94"/>
      <w:bookmarkEnd w:id="95"/>
      <w:bookmarkEnd w:id="96"/>
      <w:bookmarkEnd w:id="97"/>
    </w:p>
    <w:p>
      <w:pPr>
        <w:spacing w:line="520" w:lineRule="exact"/>
        <w:rPr>
          <w:rFonts w:ascii="仿宋_GB2312" w:hAnsi="仿宋_GB2312" w:eastAsia="仿宋_GB2312" w:cs="仿宋_GB2312"/>
          <w:b/>
          <w:bCs/>
          <w:sz w:val="28"/>
          <w:szCs w:val="28"/>
        </w:rPr>
      </w:pPr>
      <w:bookmarkStart w:id="98" w:name="_Toc2872"/>
      <w:bookmarkStart w:id="99" w:name="_Toc26249"/>
      <w:bookmarkStart w:id="100" w:name="_Toc22979"/>
      <w:bookmarkStart w:id="101" w:name="_Toc29930"/>
      <w:bookmarkStart w:id="102" w:name="_Toc15478"/>
      <w:bookmarkStart w:id="103" w:name="_Toc18280"/>
      <w:bookmarkStart w:id="104" w:name="_Toc29355"/>
      <w:r>
        <w:rPr>
          <w:rFonts w:hint="eastAsia" w:ascii="仿宋_GB2312" w:hAnsi="仿宋_GB2312" w:eastAsia="仿宋_GB2312" w:cs="仿宋_GB2312"/>
          <w:b/>
          <w:bCs/>
          <w:sz w:val="28"/>
          <w:szCs w:val="28"/>
        </w:rPr>
        <w:t>3.1资源表</w:t>
      </w:r>
      <w:bookmarkEnd w:id="98"/>
      <w:bookmarkEnd w:id="99"/>
      <w:bookmarkEnd w:id="100"/>
      <w:bookmarkEnd w:id="101"/>
      <w:bookmarkEnd w:id="102"/>
      <w:bookmarkEnd w:id="103"/>
      <w:bookmarkEnd w:id="104"/>
    </w:p>
    <w:p>
      <w:pPr>
        <w:spacing w:line="520" w:lineRule="exact"/>
        <w:ind w:firstLine="560" w:firstLineChars="200"/>
        <w:jc w:val="left"/>
        <w:rPr>
          <w:rFonts w:ascii="仿宋_GB2312" w:hAnsi="仿宋_GB2312" w:eastAsia="仿宋_GB2312" w:cs="仿宋_GB2312"/>
          <w:b/>
          <w:bCs/>
          <w:sz w:val="32"/>
          <w:szCs w:val="32"/>
        </w:rPr>
      </w:pPr>
      <w:r>
        <w:rPr>
          <w:rFonts w:hint="eastAsia" w:ascii="仿宋" w:hAnsi="仿宋" w:eastAsia="仿宋"/>
          <w:color w:val="000000" w:themeColor="text1"/>
          <w:sz w:val="28"/>
          <w:szCs w:val="28"/>
          <w14:textFill>
            <w14:solidFill>
              <w14:schemeClr w14:val="tx1"/>
            </w14:solidFill>
          </w14:textFill>
        </w:rPr>
        <w:t>资源表7项指标有5项趋好，特别是校园网主干最大带宽从2016年</w:t>
      </w:r>
      <w:r>
        <w:rPr>
          <w:rFonts w:ascii="仿宋" w:hAnsi="仿宋" w:eastAsia="仿宋"/>
          <w:color w:val="000000" w:themeColor="text1"/>
          <w:sz w:val="28"/>
          <w:szCs w:val="28"/>
          <w14:textFill>
            <w14:solidFill>
              <w14:schemeClr w14:val="tx1"/>
            </w14:solidFill>
          </w14:textFill>
        </w:rPr>
        <w:t>的1000 Mbps</w:t>
      </w:r>
      <w:r>
        <w:rPr>
          <w:rFonts w:hint="eastAsia" w:ascii="仿宋" w:hAnsi="仿宋" w:eastAsia="仿宋"/>
          <w:color w:val="000000" w:themeColor="text1"/>
          <w:sz w:val="28"/>
          <w:szCs w:val="28"/>
          <w14:textFill>
            <w14:solidFill>
              <w14:schemeClr w14:val="tx1"/>
            </w14:solidFill>
          </w14:textFill>
        </w:rPr>
        <w:t>升级</w:t>
      </w:r>
      <w:r>
        <w:rPr>
          <w:rFonts w:ascii="仿宋" w:hAnsi="仿宋" w:eastAsia="仿宋"/>
          <w:color w:val="000000" w:themeColor="text1"/>
          <w:sz w:val="28"/>
          <w:szCs w:val="28"/>
          <w14:textFill>
            <w14:solidFill>
              <w14:schemeClr w14:val="tx1"/>
            </w14:solidFill>
          </w14:textFill>
        </w:rPr>
        <w:t>到10000 Mbps</w:t>
      </w:r>
      <w:r>
        <w:rPr>
          <w:rFonts w:hint="eastAsia" w:ascii="仿宋" w:hAnsi="仿宋" w:eastAsia="仿宋"/>
          <w:color w:val="000000" w:themeColor="text1"/>
          <w:sz w:val="28"/>
          <w:szCs w:val="28"/>
          <w14:textFill>
            <w14:solidFill>
              <w14:schemeClr w14:val="tx1"/>
            </w14:solidFill>
          </w14:textFill>
        </w:rPr>
        <w:t>，表明信息</w:t>
      </w:r>
      <w:r>
        <w:rPr>
          <w:rFonts w:ascii="仿宋" w:hAnsi="仿宋" w:eastAsia="仿宋"/>
          <w:color w:val="000000" w:themeColor="text1"/>
          <w:sz w:val="28"/>
          <w:szCs w:val="28"/>
          <w14:textFill>
            <w14:solidFill>
              <w14:schemeClr w14:val="tx1"/>
            </w14:solidFill>
          </w14:textFill>
        </w:rPr>
        <w:t>化教学条件得到改善</w:t>
      </w:r>
      <w:r>
        <w:rPr>
          <w:rFonts w:hint="eastAsia" w:ascii="仿宋" w:hAnsi="仿宋" w:eastAsia="仿宋"/>
          <w:color w:val="000000" w:themeColor="text1"/>
          <w:sz w:val="28"/>
          <w:szCs w:val="28"/>
          <w14:textFill>
            <w14:solidFill>
              <w14:schemeClr w14:val="tx1"/>
            </w14:solidFill>
          </w14:textFill>
        </w:rPr>
        <w:t>。生</w:t>
      </w:r>
      <w:r>
        <w:rPr>
          <w:rFonts w:ascii="仿宋" w:hAnsi="仿宋" w:eastAsia="仿宋"/>
          <w:color w:val="000000" w:themeColor="text1"/>
          <w:sz w:val="28"/>
          <w:szCs w:val="28"/>
          <w14:textFill>
            <w14:solidFill>
              <w14:schemeClr w14:val="tx1"/>
            </w14:solidFill>
          </w14:textFill>
        </w:rPr>
        <w:t>均教学行政用</w:t>
      </w:r>
      <w:r>
        <w:rPr>
          <w:rFonts w:hint="eastAsia" w:ascii="仿宋" w:hAnsi="仿宋" w:eastAsia="仿宋"/>
          <w:color w:val="000000" w:themeColor="text1"/>
          <w:sz w:val="28"/>
          <w:szCs w:val="28"/>
          <w14:textFill>
            <w14:solidFill>
              <w14:schemeClr w14:val="tx1"/>
            </w14:solidFill>
          </w14:textFill>
        </w:rPr>
        <w:t>房14.40</w:t>
      </w:r>
      <w:r>
        <w:rPr>
          <w:rFonts w:hint="eastAsia" w:ascii="仿宋" w:hAnsi="仿宋" w:eastAsia="仿宋"/>
          <w:sz w:val="28"/>
          <w:szCs w:val="28"/>
        </w:rPr>
        <w:t xml:space="preserve"> M</w:t>
      </w:r>
      <w:r>
        <w:rPr>
          <w:rFonts w:hint="eastAsia" w:ascii="仿宋" w:hAnsi="仿宋" w:eastAsia="仿宋"/>
          <w:sz w:val="28"/>
          <w:szCs w:val="28"/>
          <w:vertAlign w:val="superscript"/>
        </w:rPr>
        <w:t>2</w:t>
      </w:r>
      <w:r>
        <w:rPr>
          <w:rFonts w:hint="eastAsia" w:ascii="仿宋" w:hAnsi="仿宋" w:eastAsia="仿宋"/>
          <w:sz w:val="28"/>
          <w:szCs w:val="28"/>
        </w:rPr>
        <w:t>/生</w:t>
      </w:r>
      <w:r>
        <w:rPr>
          <w:rFonts w:hint="eastAsia" w:ascii="仿宋" w:hAnsi="仿宋" w:eastAsia="仿宋"/>
          <w:color w:val="000000" w:themeColor="text1"/>
          <w:sz w:val="28"/>
          <w:szCs w:val="28"/>
          <w14:textFill>
            <w14:solidFill>
              <w14:schemeClr w14:val="tx1"/>
            </w14:solidFill>
          </w14:textFill>
        </w:rPr>
        <w:t>，高</w:t>
      </w:r>
      <w:r>
        <w:rPr>
          <w:rFonts w:ascii="仿宋" w:hAnsi="仿宋" w:eastAsia="仿宋"/>
          <w:color w:val="000000" w:themeColor="text1"/>
          <w:sz w:val="28"/>
          <w:szCs w:val="28"/>
          <w14:textFill>
            <w14:solidFill>
              <w14:schemeClr w14:val="tx1"/>
            </w14:solidFill>
          </w14:textFill>
        </w:rPr>
        <w:t>于国家</w:t>
      </w:r>
      <w:r>
        <w:rPr>
          <w:rFonts w:hint="eastAsia" w:ascii="仿宋" w:hAnsi="仿宋" w:eastAsia="仿宋"/>
          <w:color w:val="000000" w:themeColor="text1"/>
          <w:sz w:val="28"/>
          <w:szCs w:val="28"/>
          <w14:textFill>
            <w14:solidFill>
              <w14:schemeClr w14:val="tx1"/>
            </w14:solidFill>
          </w14:textFill>
        </w:rPr>
        <w:t>达标</w:t>
      </w:r>
      <w:r>
        <w:rPr>
          <w:rFonts w:ascii="仿宋" w:hAnsi="仿宋" w:eastAsia="仿宋"/>
          <w:color w:val="000000" w:themeColor="text1"/>
          <w:sz w:val="28"/>
          <w:szCs w:val="28"/>
          <w14:textFill>
            <w14:solidFill>
              <w14:schemeClr w14:val="tx1"/>
            </w14:solidFill>
          </w14:textFill>
        </w:rPr>
        <w:t>指数</w:t>
      </w:r>
      <w:r>
        <w:rPr>
          <w:rFonts w:hint="eastAsia" w:ascii="仿宋" w:hAnsi="仿宋" w:eastAsia="仿宋"/>
          <w:color w:val="000000" w:themeColor="text1"/>
          <w:sz w:val="28"/>
          <w:szCs w:val="28"/>
          <w14:textFill>
            <w14:solidFill>
              <w14:schemeClr w14:val="tx1"/>
            </w14:solidFill>
          </w14:textFill>
        </w:rPr>
        <w:t>14；生均教学科研仪器设备值8087.39元/生，高</w:t>
      </w:r>
      <w:r>
        <w:rPr>
          <w:rFonts w:ascii="仿宋" w:hAnsi="仿宋" w:eastAsia="仿宋"/>
          <w:color w:val="000000" w:themeColor="text1"/>
          <w:sz w:val="28"/>
          <w:szCs w:val="28"/>
          <w14:textFill>
            <w14:solidFill>
              <w14:schemeClr w14:val="tx1"/>
            </w14:solidFill>
          </w14:textFill>
        </w:rPr>
        <w:t>于省平均指数</w:t>
      </w:r>
      <w:r>
        <w:rPr>
          <w:rFonts w:hint="eastAsia" w:ascii="仿宋" w:hAnsi="仿宋" w:eastAsia="仿宋"/>
          <w:color w:val="000000" w:themeColor="text1"/>
          <w:sz w:val="28"/>
          <w:szCs w:val="28"/>
          <w14:textFill>
            <w14:solidFill>
              <w14:schemeClr w14:val="tx1"/>
            </w14:solidFill>
          </w14:textFill>
        </w:rPr>
        <w:t>7678.46元/生；总</w:t>
      </w:r>
      <w:r>
        <w:rPr>
          <w:rFonts w:ascii="仿宋" w:hAnsi="仿宋" w:eastAsia="仿宋"/>
          <w:color w:val="000000" w:themeColor="text1"/>
          <w:sz w:val="28"/>
          <w:szCs w:val="28"/>
          <w14:textFill>
            <w14:solidFill>
              <w14:schemeClr w14:val="tx1"/>
            </w14:solidFill>
          </w14:textFill>
        </w:rPr>
        <w:t>体而言</w:t>
      </w:r>
      <w:r>
        <w:rPr>
          <w:rFonts w:hint="eastAsia" w:ascii="仿宋" w:hAnsi="仿宋" w:eastAsia="仿宋"/>
          <w:color w:val="000000" w:themeColor="text1"/>
          <w:sz w:val="28"/>
          <w:szCs w:val="28"/>
          <w14:textFill>
            <w14:solidFill>
              <w14:schemeClr w14:val="tx1"/>
            </w14:solidFill>
          </w14:textFill>
        </w:rPr>
        <w:t>，学院</w:t>
      </w:r>
      <w:r>
        <w:rPr>
          <w:rFonts w:ascii="仿宋" w:hAnsi="仿宋" w:eastAsia="仿宋"/>
          <w:color w:val="000000" w:themeColor="text1"/>
          <w:sz w:val="28"/>
          <w:szCs w:val="28"/>
          <w14:textFill>
            <w14:solidFill>
              <w14:schemeClr w14:val="tx1"/>
            </w14:solidFill>
          </w14:textFill>
        </w:rPr>
        <w:t>经过</w:t>
      </w:r>
      <w:r>
        <w:rPr>
          <w:rFonts w:hint="eastAsia" w:ascii="仿宋" w:hAnsi="仿宋" w:eastAsia="仿宋"/>
          <w:color w:val="000000" w:themeColor="text1"/>
          <w:sz w:val="28"/>
          <w:szCs w:val="28"/>
          <w14:textFill>
            <w14:solidFill>
              <w14:schemeClr w14:val="tx1"/>
            </w14:solidFill>
          </w14:textFill>
        </w:rPr>
        <w:t>近</w:t>
      </w:r>
      <w:r>
        <w:rPr>
          <w:rFonts w:ascii="仿宋" w:hAnsi="仿宋" w:eastAsia="仿宋"/>
          <w:color w:val="000000" w:themeColor="text1"/>
          <w:sz w:val="28"/>
          <w:szCs w:val="28"/>
          <w14:textFill>
            <w14:solidFill>
              <w14:schemeClr w14:val="tx1"/>
            </w14:solidFill>
          </w14:textFill>
        </w:rPr>
        <w:t>几年的建设</w:t>
      </w:r>
      <w:r>
        <w:rPr>
          <w:rFonts w:hint="eastAsia" w:ascii="仿宋" w:hAnsi="仿宋" w:eastAsia="仿宋"/>
          <w:color w:val="000000" w:themeColor="text1"/>
          <w:sz w:val="28"/>
          <w:szCs w:val="28"/>
          <w14:textFill>
            <w14:solidFill>
              <w14:schemeClr w14:val="tx1"/>
            </w14:solidFill>
          </w14:textFill>
        </w:rPr>
        <w:t>与</w:t>
      </w:r>
      <w:r>
        <w:rPr>
          <w:rFonts w:ascii="仿宋" w:hAnsi="仿宋" w:eastAsia="仿宋"/>
          <w:color w:val="000000" w:themeColor="text1"/>
          <w:sz w:val="28"/>
          <w:szCs w:val="28"/>
          <w14:textFill>
            <w14:solidFill>
              <w14:schemeClr w14:val="tx1"/>
            </w14:solidFill>
          </w14:textFill>
        </w:rPr>
        <w:t>发展</w:t>
      </w:r>
      <w:r>
        <w:rPr>
          <w:rFonts w:hint="eastAsia" w:ascii="仿宋" w:hAnsi="仿宋" w:eastAsia="仿宋"/>
          <w:color w:val="000000" w:themeColor="text1"/>
          <w:sz w:val="28"/>
          <w:szCs w:val="28"/>
          <w14:textFill>
            <w14:solidFill>
              <w14:schemeClr w14:val="tx1"/>
            </w14:solidFill>
          </w14:textFill>
        </w:rPr>
        <w:t>，基本办学</w:t>
      </w:r>
      <w:r>
        <w:rPr>
          <w:rFonts w:ascii="仿宋" w:hAnsi="仿宋" w:eastAsia="仿宋"/>
          <w:color w:val="000000" w:themeColor="text1"/>
          <w:sz w:val="28"/>
          <w:szCs w:val="28"/>
          <w14:textFill>
            <w14:solidFill>
              <w14:schemeClr w14:val="tx1"/>
            </w14:solidFill>
          </w14:textFill>
        </w:rPr>
        <w:t>条件得到显著</w:t>
      </w:r>
      <w:r>
        <w:rPr>
          <w:rFonts w:hint="eastAsia" w:ascii="仿宋" w:hAnsi="仿宋" w:eastAsia="仿宋"/>
          <w:color w:val="000000" w:themeColor="text1"/>
          <w:sz w:val="28"/>
          <w:szCs w:val="28"/>
          <w14:textFill>
            <w14:solidFill>
              <w14:schemeClr w14:val="tx1"/>
            </w14:solidFill>
          </w14:textFill>
        </w:rPr>
        <w:t>改善。</w:t>
      </w:r>
    </w:p>
    <w:p>
      <w:pPr>
        <w:jc w:val="center"/>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表</w:t>
      </w:r>
      <w:r>
        <w:rPr>
          <w:rFonts w:hint="eastAsia" w:ascii="Times New Roman" w:hAnsi="Times New Roman" w:eastAsia="仿宋_GB2312"/>
          <w:b/>
          <w:sz w:val="24"/>
        </w:rPr>
        <w:t>3-1</w:t>
      </w:r>
      <w:r>
        <w:rPr>
          <w:rFonts w:hint="eastAsia" w:ascii="仿宋_GB2312" w:hAnsi="仿宋_GB2312" w:eastAsia="仿宋_GB2312" w:cs="仿宋_GB2312"/>
          <w:b/>
          <w:bCs/>
          <w:sz w:val="24"/>
          <w:szCs w:val="24"/>
        </w:rPr>
        <w:t xml:space="preserve">  资源表</w:t>
      </w:r>
    </w:p>
    <w:tbl>
      <w:tblPr>
        <w:tblStyle w:val="8"/>
        <w:tblpPr w:leftFromText="180" w:rightFromText="180" w:vertAnchor="page" w:horzAnchor="page" w:tblpX="1945" w:tblpY="5693"/>
        <w:tblW w:w="851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6"/>
        <w:gridCol w:w="754"/>
        <w:gridCol w:w="379"/>
        <w:gridCol w:w="2996"/>
        <w:gridCol w:w="885"/>
        <w:gridCol w:w="945"/>
        <w:gridCol w:w="964"/>
        <w:gridCol w:w="8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726" w:type="dxa"/>
            <w:tcBorders>
              <w:tl2br w:val="nil"/>
              <w:tr2bl w:val="nil"/>
            </w:tcBorders>
            <w:shd w:val="clear" w:color="000000" w:fill="FFFFFF"/>
            <w:vAlign w:val="center"/>
          </w:tcPr>
          <w:p>
            <w:pPr>
              <w:widowControl/>
              <w:jc w:val="left"/>
              <w:rPr>
                <w:rFonts w:ascii="仿宋" w:hAnsi="仿宋" w:eastAsia="仿宋" w:cs="宋体"/>
                <w:b/>
                <w:bCs/>
                <w:kern w:val="0"/>
                <w:sz w:val="24"/>
                <w:szCs w:val="24"/>
              </w:rPr>
            </w:pPr>
            <w:r>
              <w:rPr>
                <w:rFonts w:hint="eastAsia" w:ascii="仿宋" w:hAnsi="仿宋" w:eastAsia="仿宋" w:cs="宋体"/>
                <w:b/>
                <w:bCs/>
                <w:kern w:val="0"/>
                <w:sz w:val="24"/>
                <w:szCs w:val="24"/>
              </w:rPr>
              <w:t>院校代码</w:t>
            </w:r>
          </w:p>
        </w:tc>
        <w:tc>
          <w:tcPr>
            <w:tcW w:w="754" w:type="dxa"/>
            <w:tcBorders>
              <w:tl2br w:val="nil"/>
              <w:tr2bl w:val="nil"/>
            </w:tcBorders>
            <w:shd w:val="clear" w:color="000000" w:fill="FFFFFF"/>
            <w:vAlign w:val="center"/>
          </w:tcPr>
          <w:p>
            <w:pPr>
              <w:widowControl/>
              <w:jc w:val="left"/>
              <w:rPr>
                <w:rFonts w:ascii="仿宋" w:hAnsi="仿宋" w:eastAsia="仿宋" w:cs="宋体"/>
                <w:b/>
                <w:bCs/>
                <w:kern w:val="0"/>
                <w:sz w:val="24"/>
                <w:szCs w:val="24"/>
              </w:rPr>
            </w:pPr>
            <w:r>
              <w:rPr>
                <w:rFonts w:hint="eastAsia" w:ascii="仿宋" w:hAnsi="仿宋" w:eastAsia="仿宋" w:cs="宋体"/>
                <w:b/>
                <w:bCs/>
                <w:kern w:val="0"/>
                <w:sz w:val="24"/>
                <w:szCs w:val="24"/>
              </w:rPr>
              <w:t>院校名称</w:t>
            </w:r>
          </w:p>
        </w:tc>
        <w:tc>
          <w:tcPr>
            <w:tcW w:w="3375" w:type="dxa"/>
            <w:gridSpan w:val="2"/>
            <w:tcBorders>
              <w:tl2br w:val="nil"/>
              <w:tr2bl w:val="nil"/>
            </w:tcBorders>
            <w:shd w:val="clear" w:color="000000" w:fill="FFFFFF"/>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指</w:t>
            </w:r>
            <w:r>
              <w:rPr>
                <w:rFonts w:hint="eastAsia" w:ascii="仿宋" w:hAnsi="仿宋" w:eastAsia="仿宋" w:cs="宋体"/>
                <w:b/>
                <w:bCs/>
                <w:kern w:val="0"/>
                <w:sz w:val="24"/>
                <w:szCs w:val="24"/>
                <w:lang w:val="en-US" w:eastAsia="zh-CN"/>
              </w:rPr>
              <w:t xml:space="preserve"> </w:t>
            </w:r>
            <w:r>
              <w:rPr>
                <w:rFonts w:hint="eastAsia" w:ascii="仿宋" w:hAnsi="仿宋" w:eastAsia="仿宋" w:cs="宋体"/>
                <w:b/>
                <w:bCs/>
                <w:kern w:val="0"/>
                <w:sz w:val="24"/>
                <w:szCs w:val="24"/>
              </w:rPr>
              <w:t>标</w:t>
            </w:r>
          </w:p>
        </w:tc>
        <w:tc>
          <w:tcPr>
            <w:tcW w:w="885" w:type="dxa"/>
            <w:tcBorders>
              <w:tl2br w:val="nil"/>
              <w:tr2bl w:val="nil"/>
            </w:tcBorders>
            <w:shd w:val="clear" w:color="000000" w:fill="FFFFFF"/>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单位</w:t>
            </w:r>
          </w:p>
        </w:tc>
        <w:tc>
          <w:tcPr>
            <w:tcW w:w="945" w:type="dxa"/>
            <w:tcBorders>
              <w:tl2br w:val="nil"/>
              <w:tr2bl w:val="nil"/>
            </w:tcBorders>
            <w:shd w:val="clear" w:color="000000" w:fill="FFFFFF"/>
            <w:vAlign w:val="center"/>
          </w:tcPr>
          <w:p>
            <w:pPr>
              <w:widowControl/>
              <w:jc w:val="center"/>
              <w:rPr>
                <w:rFonts w:ascii="仿宋" w:hAnsi="仿宋" w:eastAsia="仿宋" w:cs="宋体"/>
                <w:b/>
                <w:bCs/>
                <w:kern w:val="0"/>
                <w:sz w:val="24"/>
                <w:szCs w:val="24"/>
              </w:rPr>
            </w:pPr>
            <w:r>
              <w:rPr>
                <w:rFonts w:hint="eastAsia" w:ascii="Times New Roman" w:hAnsi="Times New Roman" w:eastAsia="仿宋_GB2312"/>
                <w:b/>
                <w:bCs/>
                <w:sz w:val="24"/>
                <w:szCs w:val="24"/>
              </w:rPr>
              <w:t>2016</w:t>
            </w:r>
            <w:r>
              <w:rPr>
                <w:rFonts w:hint="eastAsia" w:ascii="仿宋" w:hAnsi="仿宋" w:eastAsia="仿宋" w:cs="宋体"/>
                <w:b/>
                <w:bCs/>
                <w:kern w:val="0"/>
                <w:sz w:val="24"/>
                <w:szCs w:val="24"/>
              </w:rPr>
              <w:t>年</w:t>
            </w:r>
          </w:p>
        </w:tc>
        <w:tc>
          <w:tcPr>
            <w:tcW w:w="964" w:type="dxa"/>
            <w:tcBorders>
              <w:tl2br w:val="nil"/>
              <w:tr2bl w:val="nil"/>
            </w:tcBorders>
            <w:shd w:val="clear" w:color="000000" w:fill="FFFFFF"/>
            <w:vAlign w:val="center"/>
          </w:tcPr>
          <w:p>
            <w:pPr>
              <w:widowControl/>
              <w:jc w:val="center"/>
              <w:rPr>
                <w:rFonts w:ascii="仿宋" w:hAnsi="仿宋" w:eastAsia="仿宋" w:cs="宋体"/>
                <w:b/>
                <w:bCs/>
                <w:kern w:val="0"/>
                <w:sz w:val="24"/>
                <w:szCs w:val="24"/>
              </w:rPr>
            </w:pPr>
            <w:r>
              <w:rPr>
                <w:rFonts w:hint="eastAsia" w:ascii="Times New Roman" w:hAnsi="Times New Roman" w:eastAsia="仿宋_GB2312"/>
                <w:b/>
                <w:bCs/>
                <w:sz w:val="24"/>
                <w:szCs w:val="24"/>
              </w:rPr>
              <w:t>2017</w:t>
            </w:r>
            <w:r>
              <w:rPr>
                <w:rFonts w:hint="eastAsia" w:ascii="仿宋" w:hAnsi="仿宋" w:eastAsia="仿宋" w:cs="宋体"/>
                <w:b/>
                <w:bCs/>
                <w:kern w:val="0"/>
                <w:sz w:val="24"/>
                <w:szCs w:val="24"/>
              </w:rPr>
              <w:t>年</w:t>
            </w:r>
          </w:p>
        </w:tc>
        <w:tc>
          <w:tcPr>
            <w:tcW w:w="869" w:type="dxa"/>
            <w:tcBorders>
              <w:tl2br w:val="nil"/>
              <w:tr2bl w:val="nil"/>
            </w:tcBorders>
            <w:shd w:val="clear" w:color="000000" w:fill="FFFFFF"/>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增长率（%）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26" w:type="dxa"/>
            <w:vMerge w:val="restart"/>
            <w:tcBorders>
              <w:tl2br w:val="nil"/>
              <w:tr2bl w:val="nil"/>
            </w:tcBorders>
            <w:shd w:val="clear" w:color="000000" w:fill="FFFFFF"/>
            <w:vAlign w:val="center"/>
          </w:tcPr>
          <w:p>
            <w:pPr>
              <w:widowControl/>
              <w:rPr>
                <w:rFonts w:ascii="仿宋" w:hAnsi="仿宋" w:eastAsia="仿宋" w:cs="宋体"/>
                <w:kern w:val="0"/>
                <w:sz w:val="24"/>
                <w:szCs w:val="24"/>
              </w:rPr>
            </w:pPr>
            <w:r>
              <w:rPr>
                <w:rFonts w:hint="eastAsia" w:ascii="仿宋" w:hAnsi="仿宋" w:eastAsia="仿宋" w:cs="宋体"/>
                <w:kern w:val="0"/>
                <w:sz w:val="24"/>
                <w:szCs w:val="24"/>
              </w:rPr>
              <w:t>12600</w:t>
            </w:r>
          </w:p>
        </w:tc>
        <w:tc>
          <w:tcPr>
            <w:tcW w:w="754" w:type="dxa"/>
            <w:vMerge w:val="restart"/>
            <w:tcBorders>
              <w:tl2br w:val="nil"/>
              <w:tr2bl w:val="nil"/>
            </w:tcBorders>
            <w:shd w:val="clear" w:color="000000" w:fill="FFFFFF"/>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邵</w:t>
            </w:r>
          </w:p>
          <w:p>
            <w:pPr>
              <w:widowControl/>
              <w:jc w:val="center"/>
              <w:rPr>
                <w:rFonts w:ascii="仿宋" w:hAnsi="仿宋" w:eastAsia="仿宋" w:cs="宋体"/>
                <w:kern w:val="0"/>
                <w:sz w:val="24"/>
                <w:szCs w:val="24"/>
              </w:rPr>
            </w:pPr>
            <w:r>
              <w:rPr>
                <w:rFonts w:hint="eastAsia" w:ascii="仿宋" w:hAnsi="仿宋" w:eastAsia="仿宋" w:cs="宋体"/>
                <w:kern w:val="0"/>
                <w:sz w:val="24"/>
                <w:szCs w:val="24"/>
              </w:rPr>
              <w:t>阳</w:t>
            </w:r>
          </w:p>
          <w:p>
            <w:pPr>
              <w:widowControl/>
              <w:jc w:val="center"/>
              <w:rPr>
                <w:rFonts w:ascii="仿宋" w:hAnsi="仿宋" w:eastAsia="仿宋" w:cs="宋体"/>
                <w:kern w:val="0"/>
                <w:sz w:val="24"/>
                <w:szCs w:val="24"/>
              </w:rPr>
            </w:pPr>
            <w:r>
              <w:rPr>
                <w:rFonts w:hint="eastAsia" w:ascii="仿宋" w:hAnsi="仿宋" w:eastAsia="仿宋" w:cs="宋体"/>
                <w:kern w:val="0"/>
                <w:sz w:val="24"/>
                <w:szCs w:val="24"/>
              </w:rPr>
              <w:t>职</w:t>
            </w:r>
          </w:p>
          <w:p>
            <w:pPr>
              <w:widowControl/>
              <w:jc w:val="center"/>
              <w:rPr>
                <w:rFonts w:ascii="仿宋" w:hAnsi="仿宋" w:eastAsia="仿宋" w:cs="宋体"/>
                <w:kern w:val="0"/>
                <w:sz w:val="24"/>
                <w:szCs w:val="24"/>
              </w:rPr>
            </w:pPr>
            <w:r>
              <w:rPr>
                <w:rFonts w:hint="eastAsia" w:ascii="仿宋" w:hAnsi="仿宋" w:eastAsia="仿宋" w:cs="宋体"/>
                <w:kern w:val="0"/>
                <w:sz w:val="24"/>
                <w:szCs w:val="24"/>
              </w:rPr>
              <w:t>业</w:t>
            </w:r>
          </w:p>
          <w:p>
            <w:pPr>
              <w:widowControl/>
              <w:jc w:val="center"/>
              <w:rPr>
                <w:rFonts w:ascii="仿宋" w:hAnsi="仿宋" w:eastAsia="仿宋" w:cs="宋体"/>
                <w:kern w:val="0"/>
                <w:sz w:val="24"/>
                <w:szCs w:val="24"/>
              </w:rPr>
            </w:pPr>
            <w:r>
              <w:rPr>
                <w:rFonts w:hint="eastAsia" w:ascii="仿宋" w:hAnsi="仿宋" w:eastAsia="仿宋" w:cs="宋体"/>
                <w:kern w:val="0"/>
                <w:sz w:val="24"/>
                <w:szCs w:val="24"/>
              </w:rPr>
              <w:t>技</w:t>
            </w:r>
          </w:p>
          <w:p>
            <w:pPr>
              <w:widowControl/>
              <w:jc w:val="center"/>
              <w:rPr>
                <w:rFonts w:ascii="仿宋" w:hAnsi="仿宋" w:eastAsia="仿宋" w:cs="宋体"/>
                <w:kern w:val="0"/>
                <w:sz w:val="24"/>
                <w:szCs w:val="24"/>
              </w:rPr>
            </w:pPr>
            <w:r>
              <w:rPr>
                <w:rFonts w:hint="eastAsia" w:ascii="仿宋" w:hAnsi="仿宋" w:eastAsia="仿宋" w:cs="宋体"/>
                <w:kern w:val="0"/>
                <w:sz w:val="24"/>
                <w:szCs w:val="24"/>
              </w:rPr>
              <w:t>术</w:t>
            </w:r>
          </w:p>
          <w:p>
            <w:pPr>
              <w:widowControl/>
              <w:jc w:val="center"/>
              <w:rPr>
                <w:rFonts w:ascii="仿宋" w:hAnsi="仿宋" w:eastAsia="仿宋" w:cs="宋体"/>
                <w:kern w:val="0"/>
                <w:sz w:val="24"/>
                <w:szCs w:val="24"/>
              </w:rPr>
            </w:pPr>
            <w:r>
              <w:rPr>
                <w:rFonts w:hint="eastAsia" w:ascii="仿宋" w:hAnsi="仿宋" w:eastAsia="仿宋" w:cs="宋体"/>
                <w:kern w:val="0"/>
                <w:sz w:val="24"/>
                <w:szCs w:val="24"/>
              </w:rPr>
              <w:t>学</w:t>
            </w:r>
          </w:p>
          <w:p>
            <w:pPr>
              <w:widowControl/>
              <w:jc w:val="center"/>
              <w:rPr>
                <w:rFonts w:ascii="仿宋" w:hAnsi="仿宋" w:eastAsia="仿宋" w:cs="宋体"/>
                <w:kern w:val="0"/>
                <w:sz w:val="24"/>
                <w:szCs w:val="24"/>
              </w:rPr>
            </w:pPr>
            <w:r>
              <w:rPr>
                <w:rFonts w:hint="eastAsia" w:ascii="仿宋" w:hAnsi="仿宋" w:eastAsia="仿宋" w:cs="宋体"/>
                <w:kern w:val="0"/>
                <w:sz w:val="24"/>
                <w:szCs w:val="24"/>
              </w:rPr>
              <w:t>院</w:t>
            </w:r>
          </w:p>
        </w:tc>
        <w:tc>
          <w:tcPr>
            <w:tcW w:w="379" w:type="dxa"/>
            <w:tcBorders>
              <w:tl2br w:val="nil"/>
              <w:tr2bl w:val="nil"/>
            </w:tcBorders>
            <w:shd w:val="clear" w:color="000000" w:fill="FFFFFF"/>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w:t>
            </w:r>
          </w:p>
        </w:tc>
        <w:tc>
          <w:tcPr>
            <w:tcW w:w="2996" w:type="dxa"/>
            <w:tcBorders>
              <w:tl2br w:val="nil"/>
              <w:tr2bl w:val="nil"/>
            </w:tcBorders>
            <w:shd w:val="clear" w:color="000000" w:fill="FFFFFF"/>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生师比</w:t>
            </w:r>
          </w:p>
        </w:tc>
        <w:tc>
          <w:tcPr>
            <w:tcW w:w="885" w:type="dxa"/>
            <w:tcBorders>
              <w:tl2br w:val="nil"/>
              <w:tr2bl w:val="nil"/>
            </w:tcBorders>
            <w:shd w:val="clear" w:color="000000" w:fill="FFFFFF"/>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w:t>
            </w:r>
          </w:p>
        </w:tc>
        <w:tc>
          <w:tcPr>
            <w:tcW w:w="945" w:type="dxa"/>
            <w:tcBorders>
              <w:tl2br w:val="nil"/>
              <w:tr2bl w:val="nil"/>
            </w:tcBorders>
            <w:shd w:val="clear" w:color="000000" w:fill="FFFFFF"/>
            <w:vAlign w:val="center"/>
          </w:tcPr>
          <w:p>
            <w:pPr>
              <w:jc w:val="center"/>
              <w:rPr>
                <w:rFonts w:ascii="Times New Roman" w:hAnsi="Times New Roman" w:eastAsia="仿宋_GB2312"/>
              </w:rPr>
            </w:pPr>
            <w:r>
              <w:rPr>
                <w:rFonts w:hint="eastAsia" w:ascii="Times New Roman" w:hAnsi="Times New Roman" w:eastAsia="仿宋_GB2312"/>
              </w:rPr>
              <w:t>11.37</w:t>
            </w:r>
          </w:p>
        </w:tc>
        <w:tc>
          <w:tcPr>
            <w:tcW w:w="964" w:type="dxa"/>
            <w:tcBorders>
              <w:tl2br w:val="nil"/>
              <w:tr2bl w:val="nil"/>
            </w:tcBorders>
            <w:shd w:val="clear" w:color="000000" w:fill="FFFFFF"/>
            <w:vAlign w:val="center"/>
          </w:tcPr>
          <w:p>
            <w:pPr>
              <w:jc w:val="center"/>
              <w:rPr>
                <w:rFonts w:ascii="Times New Roman" w:hAnsi="Times New Roman" w:eastAsia="仿宋_GB2312"/>
              </w:rPr>
            </w:pPr>
            <w:r>
              <w:rPr>
                <w:rFonts w:hint="eastAsia" w:ascii="Times New Roman" w:hAnsi="Times New Roman" w:eastAsia="仿宋_GB2312"/>
              </w:rPr>
              <w:t>12.59</w:t>
            </w:r>
          </w:p>
        </w:tc>
        <w:tc>
          <w:tcPr>
            <w:tcW w:w="869" w:type="dxa"/>
            <w:tcBorders>
              <w:tl2br w:val="nil"/>
              <w:tr2bl w:val="nil"/>
            </w:tcBorders>
            <w:shd w:val="clear" w:color="000000" w:fill="FFFFFF"/>
            <w:vAlign w:val="center"/>
          </w:tcPr>
          <w:p>
            <w:pPr>
              <w:jc w:val="center"/>
              <w:rPr>
                <w:rFonts w:ascii="Times New Roman" w:hAnsi="Times New Roman" w:eastAsia="仿宋_GB2312"/>
              </w:rPr>
            </w:pPr>
            <w:r>
              <w:rPr>
                <w:rFonts w:hint="eastAsia" w:ascii="Times New Roman" w:hAnsi="Times New Roman" w:eastAsia="仿宋_GB2312"/>
              </w:rPr>
              <w:t xml:space="preserve">10.73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26" w:type="dxa"/>
            <w:vMerge w:val="continue"/>
            <w:tcBorders>
              <w:tl2br w:val="nil"/>
              <w:tr2bl w:val="nil"/>
            </w:tcBorders>
            <w:vAlign w:val="center"/>
          </w:tcPr>
          <w:p>
            <w:pPr>
              <w:widowControl/>
              <w:jc w:val="left"/>
              <w:rPr>
                <w:rFonts w:ascii="仿宋" w:hAnsi="仿宋" w:eastAsia="仿宋" w:cs="宋体"/>
                <w:kern w:val="0"/>
                <w:sz w:val="24"/>
                <w:szCs w:val="24"/>
              </w:rPr>
            </w:pPr>
          </w:p>
        </w:tc>
        <w:tc>
          <w:tcPr>
            <w:tcW w:w="754" w:type="dxa"/>
            <w:vMerge w:val="continue"/>
            <w:tcBorders>
              <w:tl2br w:val="nil"/>
              <w:tr2bl w:val="nil"/>
            </w:tcBorders>
            <w:vAlign w:val="center"/>
          </w:tcPr>
          <w:p>
            <w:pPr>
              <w:widowControl/>
              <w:jc w:val="left"/>
              <w:rPr>
                <w:rFonts w:ascii="仿宋" w:hAnsi="仿宋" w:eastAsia="仿宋" w:cs="宋体"/>
                <w:kern w:val="0"/>
                <w:sz w:val="24"/>
                <w:szCs w:val="24"/>
              </w:rPr>
            </w:pPr>
          </w:p>
        </w:tc>
        <w:tc>
          <w:tcPr>
            <w:tcW w:w="379" w:type="dxa"/>
            <w:tcBorders>
              <w:tl2br w:val="nil"/>
              <w:tr2bl w:val="nil"/>
            </w:tcBorders>
            <w:shd w:val="clear" w:color="000000" w:fill="FFFFFF"/>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w:t>
            </w:r>
          </w:p>
        </w:tc>
        <w:tc>
          <w:tcPr>
            <w:tcW w:w="2996" w:type="dxa"/>
            <w:tcBorders>
              <w:tl2br w:val="nil"/>
              <w:tr2bl w:val="nil"/>
            </w:tcBorders>
            <w:shd w:val="clear" w:color="000000" w:fill="FFFFFF"/>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双师素质专任教师比例</w:t>
            </w:r>
          </w:p>
        </w:tc>
        <w:tc>
          <w:tcPr>
            <w:tcW w:w="885" w:type="dxa"/>
            <w:tcBorders>
              <w:tl2br w:val="nil"/>
              <w:tr2bl w:val="nil"/>
            </w:tcBorders>
            <w:shd w:val="clear" w:color="000000" w:fill="FFFFFF"/>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w:t>
            </w:r>
          </w:p>
        </w:tc>
        <w:tc>
          <w:tcPr>
            <w:tcW w:w="945" w:type="dxa"/>
            <w:tcBorders>
              <w:tl2br w:val="nil"/>
              <w:tr2bl w:val="nil"/>
            </w:tcBorders>
            <w:shd w:val="clear" w:color="000000" w:fill="FFFFFF"/>
            <w:vAlign w:val="center"/>
          </w:tcPr>
          <w:p>
            <w:pPr>
              <w:jc w:val="center"/>
              <w:rPr>
                <w:rFonts w:ascii="Times New Roman" w:hAnsi="Times New Roman" w:eastAsia="仿宋_GB2312"/>
              </w:rPr>
            </w:pPr>
            <w:r>
              <w:rPr>
                <w:rFonts w:hint="eastAsia" w:ascii="Times New Roman" w:hAnsi="Times New Roman" w:eastAsia="仿宋_GB2312"/>
              </w:rPr>
              <w:t>39.33</w:t>
            </w:r>
          </w:p>
        </w:tc>
        <w:tc>
          <w:tcPr>
            <w:tcW w:w="964" w:type="dxa"/>
            <w:tcBorders>
              <w:tl2br w:val="nil"/>
              <w:tr2bl w:val="nil"/>
            </w:tcBorders>
            <w:shd w:val="clear" w:color="000000" w:fill="FFFFFF"/>
            <w:vAlign w:val="center"/>
          </w:tcPr>
          <w:p>
            <w:pPr>
              <w:jc w:val="center"/>
              <w:rPr>
                <w:rFonts w:ascii="Times New Roman" w:hAnsi="Times New Roman" w:eastAsia="仿宋_GB2312"/>
              </w:rPr>
            </w:pPr>
            <w:r>
              <w:rPr>
                <w:rFonts w:hint="eastAsia" w:ascii="Times New Roman" w:hAnsi="Times New Roman" w:eastAsia="仿宋_GB2312"/>
              </w:rPr>
              <w:t>33.00</w:t>
            </w:r>
          </w:p>
        </w:tc>
        <w:tc>
          <w:tcPr>
            <w:tcW w:w="869" w:type="dxa"/>
            <w:tcBorders>
              <w:tl2br w:val="nil"/>
              <w:tr2bl w:val="nil"/>
            </w:tcBorders>
            <w:shd w:val="clear" w:color="000000" w:fill="FFFFFF"/>
            <w:vAlign w:val="center"/>
          </w:tcPr>
          <w:p>
            <w:pPr>
              <w:jc w:val="center"/>
              <w:rPr>
                <w:rFonts w:ascii="Times New Roman" w:hAnsi="Times New Roman" w:eastAsia="仿宋_GB2312"/>
              </w:rPr>
            </w:pPr>
            <w:r>
              <w:rPr>
                <w:rFonts w:hint="eastAsia" w:ascii="Times New Roman" w:hAnsi="Times New Roman" w:eastAsia="仿宋_GB2312"/>
              </w:rPr>
              <w:t>-6.</w:t>
            </w:r>
            <w:r>
              <w:rPr>
                <w:rFonts w:hint="eastAsia" w:ascii="Times New Roman" w:hAnsi="Times New Roman" w:eastAsia="仿宋_GB2312"/>
                <w:lang w:val="en-US" w:eastAsia="zh-CN"/>
              </w:rPr>
              <w:t>33</w:t>
            </w:r>
            <w:r>
              <w:rPr>
                <w:rFonts w:hint="eastAsia" w:ascii="Times New Roman" w:hAnsi="Times New Roman" w:eastAsia="仿宋_GB2312"/>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26" w:type="dxa"/>
            <w:vMerge w:val="continue"/>
            <w:tcBorders>
              <w:tl2br w:val="nil"/>
              <w:tr2bl w:val="nil"/>
            </w:tcBorders>
            <w:vAlign w:val="center"/>
          </w:tcPr>
          <w:p>
            <w:pPr>
              <w:widowControl/>
              <w:jc w:val="left"/>
              <w:rPr>
                <w:rFonts w:ascii="仿宋" w:hAnsi="仿宋" w:eastAsia="仿宋" w:cs="宋体"/>
                <w:kern w:val="0"/>
                <w:sz w:val="24"/>
                <w:szCs w:val="24"/>
              </w:rPr>
            </w:pPr>
          </w:p>
        </w:tc>
        <w:tc>
          <w:tcPr>
            <w:tcW w:w="754" w:type="dxa"/>
            <w:vMerge w:val="continue"/>
            <w:tcBorders>
              <w:tl2br w:val="nil"/>
              <w:tr2bl w:val="nil"/>
            </w:tcBorders>
            <w:vAlign w:val="center"/>
          </w:tcPr>
          <w:p>
            <w:pPr>
              <w:widowControl/>
              <w:jc w:val="left"/>
              <w:rPr>
                <w:rFonts w:ascii="仿宋" w:hAnsi="仿宋" w:eastAsia="仿宋" w:cs="宋体"/>
                <w:kern w:val="0"/>
                <w:sz w:val="24"/>
                <w:szCs w:val="24"/>
              </w:rPr>
            </w:pPr>
          </w:p>
        </w:tc>
        <w:tc>
          <w:tcPr>
            <w:tcW w:w="379" w:type="dxa"/>
            <w:tcBorders>
              <w:tl2br w:val="nil"/>
              <w:tr2bl w:val="nil"/>
            </w:tcBorders>
            <w:shd w:val="clear" w:color="000000" w:fill="FFFFFF"/>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3</w:t>
            </w:r>
          </w:p>
        </w:tc>
        <w:tc>
          <w:tcPr>
            <w:tcW w:w="2996" w:type="dxa"/>
            <w:tcBorders>
              <w:tl2br w:val="nil"/>
              <w:tr2bl w:val="nil"/>
            </w:tcBorders>
            <w:shd w:val="clear" w:color="000000" w:fill="FFFFFF"/>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生均教学科研仪器设备值</w:t>
            </w:r>
          </w:p>
        </w:tc>
        <w:tc>
          <w:tcPr>
            <w:tcW w:w="885" w:type="dxa"/>
            <w:tcBorders>
              <w:tl2br w:val="nil"/>
              <w:tr2bl w:val="nil"/>
            </w:tcBorders>
            <w:shd w:val="clear" w:color="000000" w:fill="FFFFFF"/>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元/生</w:t>
            </w:r>
          </w:p>
        </w:tc>
        <w:tc>
          <w:tcPr>
            <w:tcW w:w="945" w:type="dxa"/>
            <w:tcBorders>
              <w:tl2br w:val="nil"/>
              <w:tr2bl w:val="nil"/>
            </w:tcBorders>
            <w:shd w:val="clear" w:color="000000" w:fill="FFFFFF"/>
            <w:vAlign w:val="center"/>
          </w:tcPr>
          <w:p>
            <w:pPr>
              <w:jc w:val="center"/>
              <w:rPr>
                <w:rFonts w:ascii="Times New Roman" w:hAnsi="Times New Roman" w:eastAsia="仿宋_GB2312"/>
              </w:rPr>
            </w:pPr>
            <w:r>
              <w:rPr>
                <w:rFonts w:hint="eastAsia" w:ascii="Times New Roman" w:hAnsi="Times New Roman" w:eastAsia="仿宋_GB2312"/>
              </w:rPr>
              <w:t>7050.09</w:t>
            </w:r>
          </w:p>
        </w:tc>
        <w:tc>
          <w:tcPr>
            <w:tcW w:w="964" w:type="dxa"/>
            <w:tcBorders>
              <w:tl2br w:val="nil"/>
              <w:tr2bl w:val="nil"/>
            </w:tcBorders>
            <w:shd w:val="clear" w:color="000000" w:fill="FFFFFF"/>
            <w:vAlign w:val="center"/>
          </w:tcPr>
          <w:p>
            <w:pPr>
              <w:jc w:val="center"/>
              <w:rPr>
                <w:rFonts w:ascii="Times New Roman" w:hAnsi="Times New Roman" w:eastAsia="仿宋_GB2312"/>
              </w:rPr>
            </w:pPr>
            <w:r>
              <w:rPr>
                <w:rFonts w:hint="eastAsia" w:ascii="Times New Roman" w:hAnsi="Times New Roman" w:eastAsia="仿宋_GB2312"/>
              </w:rPr>
              <w:t>8087.39</w:t>
            </w:r>
          </w:p>
        </w:tc>
        <w:tc>
          <w:tcPr>
            <w:tcW w:w="869" w:type="dxa"/>
            <w:tcBorders>
              <w:tl2br w:val="nil"/>
              <w:tr2bl w:val="nil"/>
            </w:tcBorders>
            <w:shd w:val="clear" w:color="000000" w:fill="FFFFFF"/>
            <w:vAlign w:val="center"/>
          </w:tcPr>
          <w:p>
            <w:pPr>
              <w:jc w:val="center"/>
              <w:rPr>
                <w:rFonts w:ascii="Times New Roman" w:hAnsi="Times New Roman" w:eastAsia="仿宋_GB2312"/>
              </w:rPr>
            </w:pPr>
            <w:r>
              <w:rPr>
                <w:rFonts w:hint="eastAsia" w:ascii="Times New Roman" w:hAnsi="Times New Roman" w:eastAsia="仿宋_GB2312"/>
              </w:rPr>
              <w:t xml:space="preserve">14.71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26" w:type="dxa"/>
            <w:vMerge w:val="continue"/>
            <w:tcBorders>
              <w:tl2br w:val="nil"/>
              <w:tr2bl w:val="nil"/>
            </w:tcBorders>
            <w:vAlign w:val="center"/>
          </w:tcPr>
          <w:p>
            <w:pPr>
              <w:widowControl/>
              <w:jc w:val="left"/>
              <w:rPr>
                <w:rFonts w:ascii="仿宋" w:hAnsi="仿宋" w:eastAsia="仿宋" w:cs="宋体"/>
                <w:kern w:val="0"/>
                <w:sz w:val="24"/>
                <w:szCs w:val="24"/>
              </w:rPr>
            </w:pPr>
          </w:p>
        </w:tc>
        <w:tc>
          <w:tcPr>
            <w:tcW w:w="754" w:type="dxa"/>
            <w:vMerge w:val="continue"/>
            <w:tcBorders>
              <w:tl2br w:val="nil"/>
              <w:tr2bl w:val="nil"/>
            </w:tcBorders>
            <w:vAlign w:val="center"/>
          </w:tcPr>
          <w:p>
            <w:pPr>
              <w:widowControl/>
              <w:jc w:val="left"/>
              <w:rPr>
                <w:rFonts w:ascii="仿宋" w:hAnsi="仿宋" w:eastAsia="仿宋" w:cs="宋体"/>
                <w:kern w:val="0"/>
                <w:sz w:val="24"/>
                <w:szCs w:val="24"/>
              </w:rPr>
            </w:pPr>
          </w:p>
        </w:tc>
        <w:tc>
          <w:tcPr>
            <w:tcW w:w="379" w:type="dxa"/>
            <w:tcBorders>
              <w:tl2br w:val="nil"/>
              <w:tr2bl w:val="nil"/>
            </w:tcBorders>
            <w:shd w:val="clear" w:color="000000" w:fill="FFFFFF"/>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4</w:t>
            </w:r>
          </w:p>
        </w:tc>
        <w:tc>
          <w:tcPr>
            <w:tcW w:w="2996" w:type="dxa"/>
            <w:tcBorders>
              <w:tl2br w:val="nil"/>
              <w:tr2bl w:val="nil"/>
            </w:tcBorders>
            <w:shd w:val="clear" w:color="000000" w:fill="FFFFFF"/>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生均教学及辅助、行政办公用房面积</w:t>
            </w:r>
          </w:p>
        </w:tc>
        <w:tc>
          <w:tcPr>
            <w:tcW w:w="885" w:type="dxa"/>
            <w:tcBorders>
              <w:tl2br w:val="nil"/>
              <w:tr2bl w:val="nil"/>
            </w:tcBorders>
            <w:shd w:val="clear" w:color="000000" w:fill="FFFFFF"/>
            <w:vAlign w:val="center"/>
          </w:tcPr>
          <w:p>
            <w:pPr>
              <w:widowControl/>
              <w:jc w:val="center"/>
              <w:rPr>
                <w:rFonts w:ascii="仿宋" w:hAnsi="仿宋" w:eastAsia="仿宋" w:cs="宋体"/>
                <w:kern w:val="0"/>
                <w:sz w:val="24"/>
                <w:szCs w:val="24"/>
                <w:vertAlign w:val="superscript"/>
              </w:rPr>
            </w:pPr>
            <w:r>
              <w:rPr>
                <w:rFonts w:hint="eastAsia" w:ascii="仿宋" w:hAnsi="仿宋" w:eastAsia="仿宋" w:cs="宋体"/>
                <w:kern w:val="0"/>
                <w:sz w:val="24"/>
                <w:szCs w:val="24"/>
              </w:rPr>
              <w:t>m</w:t>
            </w:r>
            <w:r>
              <w:rPr>
                <w:rFonts w:hint="eastAsia" w:ascii="仿宋" w:hAnsi="仿宋" w:eastAsia="仿宋" w:cs="宋体"/>
                <w:kern w:val="0"/>
                <w:sz w:val="24"/>
                <w:szCs w:val="24"/>
                <w:vertAlign w:val="superscript"/>
              </w:rPr>
              <w:t>2</w:t>
            </w:r>
            <w:r>
              <w:rPr>
                <w:rFonts w:hint="eastAsia" w:ascii="仿宋" w:hAnsi="仿宋" w:eastAsia="仿宋" w:cs="宋体"/>
                <w:kern w:val="0"/>
                <w:sz w:val="24"/>
                <w:szCs w:val="24"/>
              </w:rPr>
              <w:t>/生</w:t>
            </w:r>
          </w:p>
        </w:tc>
        <w:tc>
          <w:tcPr>
            <w:tcW w:w="945" w:type="dxa"/>
            <w:tcBorders>
              <w:tl2br w:val="nil"/>
              <w:tr2bl w:val="nil"/>
            </w:tcBorders>
            <w:shd w:val="clear" w:color="000000" w:fill="FFFFFF"/>
            <w:vAlign w:val="center"/>
          </w:tcPr>
          <w:p>
            <w:pPr>
              <w:jc w:val="center"/>
              <w:rPr>
                <w:rFonts w:ascii="Times New Roman" w:hAnsi="Times New Roman" w:eastAsia="仿宋_GB2312"/>
              </w:rPr>
            </w:pPr>
            <w:r>
              <w:rPr>
                <w:rFonts w:hint="eastAsia" w:ascii="Times New Roman" w:hAnsi="Times New Roman" w:eastAsia="仿宋_GB2312"/>
              </w:rPr>
              <w:t>14.97</w:t>
            </w:r>
          </w:p>
        </w:tc>
        <w:tc>
          <w:tcPr>
            <w:tcW w:w="964" w:type="dxa"/>
            <w:tcBorders>
              <w:tl2br w:val="nil"/>
              <w:tr2bl w:val="nil"/>
            </w:tcBorders>
            <w:shd w:val="clear" w:color="000000" w:fill="FFFFFF"/>
            <w:vAlign w:val="center"/>
          </w:tcPr>
          <w:p>
            <w:pPr>
              <w:jc w:val="center"/>
              <w:rPr>
                <w:rFonts w:ascii="Times New Roman" w:hAnsi="Times New Roman" w:eastAsia="仿宋_GB2312"/>
              </w:rPr>
            </w:pPr>
            <w:r>
              <w:rPr>
                <w:rFonts w:hint="eastAsia" w:ascii="Times New Roman" w:hAnsi="Times New Roman" w:eastAsia="仿宋_GB2312"/>
              </w:rPr>
              <w:t>14.40</w:t>
            </w:r>
          </w:p>
        </w:tc>
        <w:tc>
          <w:tcPr>
            <w:tcW w:w="869" w:type="dxa"/>
            <w:tcBorders>
              <w:tl2br w:val="nil"/>
              <w:tr2bl w:val="nil"/>
            </w:tcBorders>
            <w:shd w:val="clear" w:color="000000" w:fill="FFFFFF"/>
            <w:vAlign w:val="center"/>
          </w:tcPr>
          <w:p>
            <w:pPr>
              <w:jc w:val="center"/>
              <w:rPr>
                <w:rFonts w:ascii="Times New Roman" w:hAnsi="Times New Roman" w:eastAsia="仿宋_GB2312"/>
              </w:rPr>
            </w:pPr>
            <w:r>
              <w:rPr>
                <w:rFonts w:hint="eastAsia" w:ascii="Times New Roman" w:hAnsi="Times New Roman" w:eastAsia="仿宋_GB2312"/>
              </w:rPr>
              <w:t xml:space="preserve">-3.81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26" w:type="dxa"/>
            <w:vMerge w:val="continue"/>
            <w:tcBorders>
              <w:tl2br w:val="nil"/>
              <w:tr2bl w:val="nil"/>
            </w:tcBorders>
            <w:vAlign w:val="center"/>
          </w:tcPr>
          <w:p>
            <w:pPr>
              <w:widowControl/>
              <w:jc w:val="left"/>
              <w:rPr>
                <w:rFonts w:ascii="仿宋" w:hAnsi="仿宋" w:eastAsia="仿宋" w:cs="宋体"/>
                <w:kern w:val="0"/>
                <w:sz w:val="24"/>
                <w:szCs w:val="24"/>
              </w:rPr>
            </w:pPr>
          </w:p>
        </w:tc>
        <w:tc>
          <w:tcPr>
            <w:tcW w:w="754" w:type="dxa"/>
            <w:vMerge w:val="continue"/>
            <w:tcBorders>
              <w:tl2br w:val="nil"/>
              <w:tr2bl w:val="nil"/>
            </w:tcBorders>
            <w:vAlign w:val="center"/>
          </w:tcPr>
          <w:p>
            <w:pPr>
              <w:widowControl/>
              <w:jc w:val="left"/>
              <w:rPr>
                <w:rFonts w:ascii="仿宋" w:hAnsi="仿宋" w:eastAsia="仿宋" w:cs="宋体"/>
                <w:kern w:val="0"/>
                <w:sz w:val="24"/>
                <w:szCs w:val="24"/>
              </w:rPr>
            </w:pPr>
          </w:p>
        </w:tc>
        <w:tc>
          <w:tcPr>
            <w:tcW w:w="379" w:type="dxa"/>
            <w:tcBorders>
              <w:tl2br w:val="nil"/>
              <w:tr2bl w:val="nil"/>
            </w:tcBorders>
            <w:shd w:val="clear" w:color="000000" w:fill="FFFFFF"/>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5</w:t>
            </w:r>
          </w:p>
        </w:tc>
        <w:tc>
          <w:tcPr>
            <w:tcW w:w="2996" w:type="dxa"/>
            <w:tcBorders>
              <w:tl2br w:val="nil"/>
              <w:tr2bl w:val="nil"/>
            </w:tcBorders>
            <w:shd w:val="clear" w:color="000000" w:fill="FFFFFF"/>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生均校内实践教学工位数</w:t>
            </w:r>
          </w:p>
        </w:tc>
        <w:tc>
          <w:tcPr>
            <w:tcW w:w="885" w:type="dxa"/>
            <w:tcBorders>
              <w:tl2br w:val="nil"/>
              <w:tr2bl w:val="nil"/>
            </w:tcBorders>
            <w:shd w:val="clear" w:color="000000" w:fill="FFFFFF"/>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个/生</w:t>
            </w:r>
          </w:p>
        </w:tc>
        <w:tc>
          <w:tcPr>
            <w:tcW w:w="945" w:type="dxa"/>
            <w:tcBorders>
              <w:tl2br w:val="nil"/>
              <w:tr2bl w:val="nil"/>
            </w:tcBorders>
            <w:shd w:val="clear" w:color="000000" w:fill="FFFFFF"/>
            <w:vAlign w:val="center"/>
          </w:tcPr>
          <w:p>
            <w:pPr>
              <w:jc w:val="center"/>
              <w:rPr>
                <w:rFonts w:ascii="Times New Roman" w:hAnsi="Times New Roman" w:eastAsia="仿宋_GB2312"/>
              </w:rPr>
            </w:pPr>
            <w:r>
              <w:rPr>
                <w:rFonts w:hint="eastAsia" w:ascii="Times New Roman" w:hAnsi="Times New Roman" w:eastAsia="仿宋_GB2312"/>
              </w:rPr>
              <w:t>0.87</w:t>
            </w:r>
          </w:p>
        </w:tc>
        <w:tc>
          <w:tcPr>
            <w:tcW w:w="964" w:type="dxa"/>
            <w:tcBorders>
              <w:tl2br w:val="nil"/>
              <w:tr2bl w:val="nil"/>
            </w:tcBorders>
            <w:shd w:val="clear" w:color="000000" w:fill="FFFFFF"/>
            <w:vAlign w:val="center"/>
          </w:tcPr>
          <w:p>
            <w:pPr>
              <w:jc w:val="center"/>
              <w:rPr>
                <w:rFonts w:ascii="Times New Roman" w:hAnsi="Times New Roman" w:eastAsia="仿宋_GB2312"/>
              </w:rPr>
            </w:pPr>
            <w:r>
              <w:rPr>
                <w:rFonts w:hint="eastAsia" w:ascii="Times New Roman" w:hAnsi="Times New Roman" w:eastAsia="仿宋_GB2312"/>
              </w:rPr>
              <w:t>0.88</w:t>
            </w:r>
          </w:p>
        </w:tc>
        <w:tc>
          <w:tcPr>
            <w:tcW w:w="869" w:type="dxa"/>
            <w:tcBorders>
              <w:tl2br w:val="nil"/>
              <w:tr2bl w:val="nil"/>
            </w:tcBorders>
            <w:shd w:val="clear" w:color="000000" w:fill="FFFFFF"/>
            <w:vAlign w:val="center"/>
          </w:tcPr>
          <w:p>
            <w:pPr>
              <w:jc w:val="center"/>
              <w:rPr>
                <w:rFonts w:ascii="Times New Roman" w:hAnsi="Times New Roman" w:eastAsia="仿宋_GB2312"/>
              </w:rPr>
            </w:pPr>
            <w:r>
              <w:rPr>
                <w:rFonts w:hint="eastAsia" w:ascii="Times New Roman" w:hAnsi="Times New Roman" w:eastAsia="仿宋_GB2312"/>
              </w:rPr>
              <w:t xml:space="preserve">1.15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26" w:type="dxa"/>
            <w:vMerge w:val="continue"/>
            <w:tcBorders>
              <w:tl2br w:val="nil"/>
              <w:tr2bl w:val="nil"/>
            </w:tcBorders>
            <w:vAlign w:val="center"/>
          </w:tcPr>
          <w:p>
            <w:pPr>
              <w:widowControl/>
              <w:jc w:val="left"/>
              <w:rPr>
                <w:rFonts w:ascii="仿宋" w:hAnsi="仿宋" w:eastAsia="仿宋" w:cs="宋体"/>
                <w:kern w:val="0"/>
                <w:sz w:val="24"/>
                <w:szCs w:val="24"/>
              </w:rPr>
            </w:pPr>
          </w:p>
        </w:tc>
        <w:tc>
          <w:tcPr>
            <w:tcW w:w="754" w:type="dxa"/>
            <w:vMerge w:val="continue"/>
            <w:tcBorders>
              <w:tl2br w:val="nil"/>
              <w:tr2bl w:val="nil"/>
            </w:tcBorders>
            <w:vAlign w:val="center"/>
          </w:tcPr>
          <w:p>
            <w:pPr>
              <w:widowControl/>
              <w:jc w:val="left"/>
              <w:rPr>
                <w:rFonts w:ascii="仿宋" w:hAnsi="仿宋" w:eastAsia="仿宋" w:cs="宋体"/>
                <w:kern w:val="0"/>
                <w:sz w:val="24"/>
                <w:szCs w:val="24"/>
              </w:rPr>
            </w:pPr>
          </w:p>
        </w:tc>
        <w:tc>
          <w:tcPr>
            <w:tcW w:w="379" w:type="dxa"/>
            <w:tcBorders>
              <w:tl2br w:val="nil"/>
              <w:tr2bl w:val="nil"/>
            </w:tcBorders>
            <w:shd w:val="clear" w:color="000000" w:fill="FFFFFF"/>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6</w:t>
            </w:r>
          </w:p>
        </w:tc>
        <w:tc>
          <w:tcPr>
            <w:tcW w:w="2996" w:type="dxa"/>
            <w:tcBorders>
              <w:tl2br w:val="nil"/>
              <w:tr2bl w:val="nil"/>
            </w:tcBorders>
            <w:shd w:val="clear" w:color="000000" w:fill="FFFFFF"/>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校园网主干最大带宽</w:t>
            </w:r>
          </w:p>
        </w:tc>
        <w:tc>
          <w:tcPr>
            <w:tcW w:w="885" w:type="dxa"/>
            <w:tcBorders>
              <w:tl2br w:val="nil"/>
              <w:tr2bl w:val="nil"/>
            </w:tcBorders>
            <w:shd w:val="clear" w:color="000000" w:fill="FFFFFF"/>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Mbps</w:t>
            </w:r>
          </w:p>
        </w:tc>
        <w:tc>
          <w:tcPr>
            <w:tcW w:w="945" w:type="dxa"/>
            <w:tcBorders>
              <w:tl2br w:val="nil"/>
              <w:tr2bl w:val="nil"/>
            </w:tcBorders>
            <w:shd w:val="clear" w:color="000000" w:fill="FFFFFF"/>
            <w:vAlign w:val="center"/>
          </w:tcPr>
          <w:p>
            <w:pPr>
              <w:jc w:val="center"/>
              <w:rPr>
                <w:rFonts w:ascii="Times New Roman" w:hAnsi="Times New Roman" w:eastAsia="仿宋_GB2312"/>
              </w:rPr>
            </w:pPr>
            <w:r>
              <w:rPr>
                <w:rFonts w:hint="eastAsia" w:ascii="Times New Roman" w:hAnsi="Times New Roman" w:eastAsia="仿宋_GB2312"/>
              </w:rPr>
              <w:t>1000</w:t>
            </w:r>
          </w:p>
        </w:tc>
        <w:tc>
          <w:tcPr>
            <w:tcW w:w="964" w:type="dxa"/>
            <w:tcBorders>
              <w:tl2br w:val="nil"/>
              <w:tr2bl w:val="nil"/>
            </w:tcBorders>
            <w:shd w:val="clear" w:color="000000" w:fill="FFFFFF"/>
            <w:vAlign w:val="center"/>
          </w:tcPr>
          <w:p>
            <w:pPr>
              <w:jc w:val="center"/>
              <w:rPr>
                <w:rFonts w:ascii="Times New Roman" w:hAnsi="Times New Roman" w:eastAsia="仿宋_GB2312"/>
              </w:rPr>
            </w:pPr>
            <w:r>
              <w:rPr>
                <w:rFonts w:hint="eastAsia" w:ascii="Times New Roman" w:hAnsi="Times New Roman" w:eastAsia="仿宋_GB2312"/>
              </w:rPr>
              <w:t>10000</w:t>
            </w:r>
          </w:p>
        </w:tc>
        <w:tc>
          <w:tcPr>
            <w:tcW w:w="869" w:type="dxa"/>
            <w:tcBorders>
              <w:tl2br w:val="nil"/>
              <w:tr2bl w:val="nil"/>
            </w:tcBorders>
            <w:shd w:val="clear" w:color="000000" w:fill="FFFFFF"/>
            <w:vAlign w:val="center"/>
          </w:tcPr>
          <w:p>
            <w:pPr>
              <w:jc w:val="center"/>
              <w:rPr>
                <w:rFonts w:ascii="Times New Roman" w:hAnsi="Times New Roman" w:eastAsia="仿宋_GB2312"/>
              </w:rPr>
            </w:pPr>
            <w:r>
              <w:rPr>
                <w:rFonts w:hint="eastAsia" w:ascii="Times New Roman" w:hAnsi="Times New Roman" w:eastAsia="仿宋_GB2312"/>
              </w:rPr>
              <w:t>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26" w:type="dxa"/>
            <w:vMerge w:val="continue"/>
            <w:tcBorders>
              <w:tl2br w:val="nil"/>
              <w:tr2bl w:val="nil"/>
            </w:tcBorders>
            <w:vAlign w:val="center"/>
          </w:tcPr>
          <w:p>
            <w:pPr>
              <w:widowControl/>
              <w:jc w:val="left"/>
              <w:rPr>
                <w:rFonts w:ascii="仿宋" w:hAnsi="仿宋" w:eastAsia="仿宋" w:cs="宋体"/>
                <w:kern w:val="0"/>
                <w:sz w:val="24"/>
                <w:szCs w:val="24"/>
              </w:rPr>
            </w:pPr>
          </w:p>
        </w:tc>
        <w:tc>
          <w:tcPr>
            <w:tcW w:w="754" w:type="dxa"/>
            <w:vMerge w:val="continue"/>
            <w:tcBorders>
              <w:tl2br w:val="nil"/>
              <w:tr2bl w:val="nil"/>
            </w:tcBorders>
            <w:vAlign w:val="center"/>
          </w:tcPr>
          <w:p>
            <w:pPr>
              <w:widowControl/>
              <w:jc w:val="left"/>
              <w:rPr>
                <w:rFonts w:ascii="仿宋" w:hAnsi="仿宋" w:eastAsia="仿宋" w:cs="宋体"/>
                <w:kern w:val="0"/>
                <w:sz w:val="24"/>
                <w:szCs w:val="24"/>
              </w:rPr>
            </w:pPr>
          </w:p>
        </w:tc>
        <w:tc>
          <w:tcPr>
            <w:tcW w:w="379" w:type="dxa"/>
            <w:vMerge w:val="restart"/>
            <w:tcBorders>
              <w:tl2br w:val="nil"/>
              <w:tr2bl w:val="nil"/>
            </w:tcBorders>
            <w:shd w:val="clear" w:color="000000" w:fill="FFFFFF"/>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7</w:t>
            </w:r>
          </w:p>
        </w:tc>
        <w:tc>
          <w:tcPr>
            <w:tcW w:w="2996" w:type="dxa"/>
            <w:tcBorders>
              <w:tl2br w:val="nil"/>
              <w:tr2bl w:val="nil"/>
            </w:tcBorders>
            <w:shd w:val="clear" w:color="000000" w:fill="FFFFFF"/>
            <w:vAlign w:val="center"/>
          </w:tcPr>
          <w:p>
            <w:pPr>
              <w:widowControl/>
              <w:jc w:val="left"/>
              <w:rPr>
                <w:rFonts w:ascii="仿宋" w:hAnsi="仿宋" w:eastAsia="仿宋" w:cs="宋体"/>
                <w:kern w:val="0"/>
                <w:sz w:val="24"/>
                <w:szCs w:val="24"/>
              </w:rPr>
            </w:pPr>
            <w:r>
              <w:rPr>
                <w:rFonts w:ascii="仿宋" w:hAnsi="仿宋" w:eastAsia="仿宋" w:cs="宋体"/>
                <w:kern w:val="0"/>
                <w:sz w:val="24"/>
                <w:szCs w:val="24"/>
              </w:rPr>
              <w:t>教学计划内课程总数</w:t>
            </w:r>
          </w:p>
        </w:tc>
        <w:tc>
          <w:tcPr>
            <w:tcW w:w="885" w:type="dxa"/>
            <w:tcBorders>
              <w:tl2br w:val="nil"/>
              <w:tr2bl w:val="nil"/>
            </w:tcBorders>
            <w:shd w:val="clear" w:color="000000" w:fill="FFFFFF"/>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门</w:t>
            </w:r>
          </w:p>
        </w:tc>
        <w:tc>
          <w:tcPr>
            <w:tcW w:w="945" w:type="dxa"/>
            <w:tcBorders>
              <w:tl2br w:val="nil"/>
              <w:tr2bl w:val="nil"/>
            </w:tcBorders>
            <w:shd w:val="clear" w:color="000000" w:fill="FFFFFF"/>
            <w:vAlign w:val="bottom"/>
          </w:tcPr>
          <w:p>
            <w:pPr>
              <w:jc w:val="center"/>
              <w:rPr>
                <w:rFonts w:ascii="Times New Roman" w:hAnsi="Times New Roman" w:eastAsia="仿宋_GB2312"/>
              </w:rPr>
            </w:pPr>
            <w:r>
              <w:rPr>
                <w:rFonts w:hint="eastAsia" w:ascii="Times New Roman" w:hAnsi="Times New Roman" w:eastAsia="仿宋_GB2312"/>
              </w:rPr>
              <w:t>308</w:t>
            </w:r>
          </w:p>
        </w:tc>
        <w:tc>
          <w:tcPr>
            <w:tcW w:w="964" w:type="dxa"/>
            <w:tcBorders>
              <w:tl2br w:val="nil"/>
              <w:tr2bl w:val="nil"/>
            </w:tcBorders>
            <w:shd w:val="clear" w:color="000000" w:fill="FFFFFF"/>
            <w:vAlign w:val="center"/>
          </w:tcPr>
          <w:p>
            <w:pPr>
              <w:jc w:val="center"/>
              <w:rPr>
                <w:rFonts w:ascii="Times New Roman" w:hAnsi="Times New Roman" w:eastAsia="仿宋_GB2312"/>
              </w:rPr>
            </w:pPr>
            <w:r>
              <w:rPr>
                <w:rFonts w:hint="eastAsia" w:ascii="Times New Roman" w:hAnsi="Times New Roman" w:eastAsia="仿宋_GB2312"/>
              </w:rPr>
              <w:t>396</w:t>
            </w:r>
          </w:p>
        </w:tc>
        <w:tc>
          <w:tcPr>
            <w:tcW w:w="869" w:type="dxa"/>
            <w:tcBorders>
              <w:tl2br w:val="nil"/>
              <w:tr2bl w:val="nil"/>
            </w:tcBorders>
            <w:shd w:val="clear" w:color="000000" w:fill="FFFFFF"/>
            <w:vAlign w:val="center"/>
          </w:tcPr>
          <w:p>
            <w:pPr>
              <w:jc w:val="center"/>
              <w:rPr>
                <w:rFonts w:ascii="Times New Roman" w:hAnsi="Times New Roman" w:eastAsia="仿宋_GB2312"/>
              </w:rPr>
            </w:pPr>
            <w:r>
              <w:rPr>
                <w:rFonts w:hint="eastAsia" w:ascii="Times New Roman" w:hAnsi="Times New Roman" w:eastAsia="仿宋_GB2312"/>
              </w:rPr>
              <w:t xml:space="preserve">28.57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26" w:type="dxa"/>
            <w:vMerge w:val="continue"/>
            <w:tcBorders>
              <w:tl2br w:val="nil"/>
              <w:tr2bl w:val="nil"/>
            </w:tcBorders>
            <w:vAlign w:val="center"/>
          </w:tcPr>
          <w:p>
            <w:pPr>
              <w:widowControl/>
              <w:jc w:val="left"/>
              <w:rPr>
                <w:rFonts w:ascii="仿宋" w:hAnsi="仿宋" w:eastAsia="仿宋" w:cs="宋体"/>
                <w:kern w:val="0"/>
                <w:sz w:val="24"/>
                <w:szCs w:val="24"/>
              </w:rPr>
            </w:pPr>
          </w:p>
        </w:tc>
        <w:tc>
          <w:tcPr>
            <w:tcW w:w="754" w:type="dxa"/>
            <w:vMerge w:val="continue"/>
            <w:tcBorders>
              <w:tl2br w:val="nil"/>
              <w:tr2bl w:val="nil"/>
            </w:tcBorders>
            <w:vAlign w:val="center"/>
          </w:tcPr>
          <w:p>
            <w:pPr>
              <w:widowControl/>
              <w:jc w:val="left"/>
              <w:rPr>
                <w:rFonts w:ascii="仿宋" w:hAnsi="仿宋" w:eastAsia="仿宋" w:cs="宋体"/>
                <w:kern w:val="0"/>
                <w:sz w:val="24"/>
                <w:szCs w:val="24"/>
              </w:rPr>
            </w:pPr>
          </w:p>
        </w:tc>
        <w:tc>
          <w:tcPr>
            <w:tcW w:w="379" w:type="dxa"/>
            <w:vMerge w:val="continue"/>
            <w:tcBorders>
              <w:tl2br w:val="nil"/>
              <w:tr2bl w:val="nil"/>
            </w:tcBorders>
            <w:shd w:val="clear" w:color="000000" w:fill="FFFFFF"/>
            <w:vAlign w:val="center"/>
          </w:tcPr>
          <w:p>
            <w:pPr>
              <w:widowControl/>
              <w:jc w:val="center"/>
              <w:rPr>
                <w:rFonts w:ascii="仿宋" w:hAnsi="仿宋" w:eastAsia="仿宋" w:cs="宋体"/>
                <w:kern w:val="0"/>
                <w:sz w:val="24"/>
                <w:szCs w:val="24"/>
              </w:rPr>
            </w:pPr>
          </w:p>
        </w:tc>
        <w:tc>
          <w:tcPr>
            <w:tcW w:w="2996" w:type="dxa"/>
            <w:tcBorders>
              <w:tl2br w:val="nil"/>
              <w:tr2bl w:val="nil"/>
            </w:tcBorders>
            <w:shd w:val="clear" w:color="000000" w:fill="FFFFFF"/>
            <w:vAlign w:val="center"/>
          </w:tcPr>
          <w:p>
            <w:pPr>
              <w:widowControl/>
              <w:jc w:val="left"/>
              <w:rPr>
                <w:rFonts w:ascii="仿宋" w:hAnsi="仿宋" w:eastAsia="仿宋" w:cs="宋体"/>
                <w:kern w:val="0"/>
                <w:sz w:val="24"/>
                <w:szCs w:val="24"/>
              </w:rPr>
            </w:pPr>
            <w:r>
              <w:rPr>
                <w:rFonts w:ascii="仿宋" w:hAnsi="仿宋" w:eastAsia="仿宋" w:cs="宋体"/>
                <w:kern w:val="0"/>
                <w:sz w:val="24"/>
                <w:szCs w:val="24"/>
              </w:rPr>
              <w:t>其中：线上开设课程数</w:t>
            </w:r>
          </w:p>
        </w:tc>
        <w:tc>
          <w:tcPr>
            <w:tcW w:w="885" w:type="dxa"/>
            <w:tcBorders>
              <w:tl2br w:val="nil"/>
              <w:tr2bl w:val="nil"/>
            </w:tcBorders>
            <w:shd w:val="clear" w:color="000000" w:fill="FFFFFF"/>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门</w:t>
            </w:r>
          </w:p>
        </w:tc>
        <w:tc>
          <w:tcPr>
            <w:tcW w:w="945" w:type="dxa"/>
            <w:tcBorders>
              <w:tl2br w:val="nil"/>
              <w:tr2bl w:val="nil"/>
            </w:tcBorders>
            <w:shd w:val="clear" w:color="000000" w:fill="FFFFFF"/>
            <w:vAlign w:val="bottom"/>
          </w:tcPr>
          <w:p>
            <w:pPr>
              <w:jc w:val="center"/>
              <w:rPr>
                <w:rFonts w:ascii="Times New Roman" w:hAnsi="Times New Roman" w:eastAsia="仿宋_GB2312"/>
              </w:rPr>
            </w:pPr>
            <w:r>
              <w:rPr>
                <w:rFonts w:hint="eastAsia" w:ascii="Times New Roman" w:hAnsi="Times New Roman" w:eastAsia="仿宋_GB2312"/>
              </w:rPr>
              <w:t>53</w:t>
            </w:r>
          </w:p>
        </w:tc>
        <w:tc>
          <w:tcPr>
            <w:tcW w:w="964" w:type="dxa"/>
            <w:tcBorders>
              <w:tl2br w:val="nil"/>
              <w:tr2bl w:val="nil"/>
            </w:tcBorders>
            <w:shd w:val="clear" w:color="000000" w:fill="FFFFFF"/>
            <w:vAlign w:val="center"/>
          </w:tcPr>
          <w:p>
            <w:pPr>
              <w:jc w:val="center"/>
              <w:rPr>
                <w:rFonts w:ascii="Times New Roman" w:hAnsi="Times New Roman" w:eastAsia="仿宋_GB2312"/>
              </w:rPr>
            </w:pPr>
            <w:r>
              <w:rPr>
                <w:rFonts w:hint="eastAsia" w:ascii="Times New Roman" w:hAnsi="Times New Roman" w:eastAsia="仿宋_GB2312"/>
              </w:rPr>
              <w:t>57</w:t>
            </w:r>
          </w:p>
        </w:tc>
        <w:tc>
          <w:tcPr>
            <w:tcW w:w="869" w:type="dxa"/>
            <w:tcBorders>
              <w:tl2br w:val="nil"/>
              <w:tr2bl w:val="nil"/>
            </w:tcBorders>
            <w:shd w:val="clear" w:color="000000" w:fill="FFFFFF"/>
            <w:vAlign w:val="center"/>
          </w:tcPr>
          <w:p>
            <w:pPr>
              <w:jc w:val="center"/>
              <w:rPr>
                <w:rFonts w:ascii="Times New Roman" w:hAnsi="Times New Roman" w:eastAsia="仿宋_GB2312"/>
              </w:rPr>
            </w:pPr>
            <w:r>
              <w:rPr>
                <w:rFonts w:hint="eastAsia" w:ascii="Times New Roman" w:hAnsi="Times New Roman" w:eastAsia="仿宋_GB2312"/>
              </w:rPr>
              <w:t xml:space="preserve">7.55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26" w:type="dxa"/>
            <w:vMerge w:val="continue"/>
            <w:tcBorders>
              <w:tl2br w:val="nil"/>
              <w:tr2bl w:val="nil"/>
            </w:tcBorders>
            <w:vAlign w:val="center"/>
          </w:tcPr>
          <w:p>
            <w:pPr>
              <w:widowControl/>
              <w:jc w:val="left"/>
              <w:rPr>
                <w:rFonts w:ascii="仿宋" w:hAnsi="仿宋" w:eastAsia="仿宋" w:cs="宋体"/>
                <w:kern w:val="0"/>
                <w:sz w:val="24"/>
                <w:szCs w:val="24"/>
              </w:rPr>
            </w:pPr>
          </w:p>
        </w:tc>
        <w:tc>
          <w:tcPr>
            <w:tcW w:w="754" w:type="dxa"/>
            <w:vMerge w:val="continue"/>
            <w:tcBorders>
              <w:tl2br w:val="nil"/>
              <w:tr2bl w:val="nil"/>
            </w:tcBorders>
            <w:vAlign w:val="center"/>
          </w:tcPr>
          <w:p>
            <w:pPr>
              <w:widowControl/>
              <w:jc w:val="left"/>
              <w:rPr>
                <w:rFonts w:ascii="仿宋" w:hAnsi="仿宋" w:eastAsia="仿宋" w:cs="宋体"/>
                <w:kern w:val="0"/>
                <w:sz w:val="24"/>
                <w:szCs w:val="24"/>
              </w:rPr>
            </w:pPr>
          </w:p>
        </w:tc>
        <w:tc>
          <w:tcPr>
            <w:tcW w:w="7038" w:type="dxa"/>
            <w:gridSpan w:val="6"/>
            <w:tcBorders>
              <w:tl2br w:val="nil"/>
              <w:tr2bl w:val="nil"/>
            </w:tcBorders>
            <w:shd w:val="clear" w:color="000000" w:fill="FFFFFF"/>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学校类别（单选）：综合、师范、民族院校（</w:t>
            </w:r>
            <w:r>
              <w:rPr>
                <w:rFonts w:hint="eastAsia" w:ascii="仿宋" w:hAnsi="仿宋" w:eastAsia="仿宋" w:cs="仿宋"/>
                <w:kern w:val="0"/>
                <w:sz w:val="24"/>
                <w:szCs w:val="24"/>
              </w:rPr>
              <w:t>√</w:t>
            </w:r>
            <w:r>
              <w:rPr>
                <w:rFonts w:hint="eastAsia" w:ascii="仿宋" w:hAnsi="仿宋" w:eastAsia="仿宋" w:cs="宋体"/>
                <w:kern w:val="0"/>
                <w:sz w:val="24"/>
                <w:szCs w:val="24"/>
              </w:rPr>
              <w:t>）</w:t>
            </w:r>
          </w:p>
        </w:tc>
      </w:tr>
    </w:tbl>
    <w:p>
      <w:pPr>
        <w:jc w:val="center"/>
        <w:rPr>
          <w:rFonts w:ascii="仿宋_GB2312" w:hAnsi="仿宋_GB2312" w:eastAsia="仿宋_GB2312" w:cs="仿宋_GB2312"/>
          <w:b/>
          <w:bCs/>
          <w:sz w:val="28"/>
          <w:szCs w:val="28"/>
        </w:rPr>
      </w:pPr>
      <w:r>
        <w:rPr>
          <w:rFonts w:hint="eastAsia" w:ascii="楷体" w:hAnsi="楷体" w:eastAsia="楷体" w:cs="楷体"/>
        </w:rPr>
        <w:t>数据来源：学院人才培养状态数据平台</w:t>
      </w:r>
    </w:p>
    <w:p>
      <w:pPr>
        <w:spacing w:line="520" w:lineRule="exact"/>
        <w:rPr>
          <w:rFonts w:ascii="仿宋_GB2312" w:hAnsi="仿宋_GB2312" w:eastAsia="仿宋_GB2312" w:cs="仿宋_GB2312"/>
          <w:b/>
          <w:bCs/>
          <w:sz w:val="28"/>
          <w:szCs w:val="28"/>
        </w:rPr>
      </w:pPr>
      <w:bookmarkStart w:id="105" w:name="_Toc15204"/>
      <w:bookmarkStart w:id="106" w:name="_Toc7692"/>
      <w:bookmarkStart w:id="107" w:name="_Toc30550"/>
      <w:bookmarkStart w:id="108" w:name="_Toc12809"/>
      <w:bookmarkStart w:id="109" w:name="_Toc23443"/>
      <w:bookmarkStart w:id="110" w:name="_Toc3606"/>
      <w:bookmarkStart w:id="111" w:name="_Toc25855"/>
      <w:r>
        <w:rPr>
          <w:rFonts w:hint="eastAsia" w:ascii="仿宋_GB2312" w:hAnsi="仿宋_GB2312" w:eastAsia="仿宋_GB2312" w:cs="仿宋_GB2312"/>
          <w:b/>
          <w:bCs/>
          <w:sz w:val="28"/>
          <w:szCs w:val="28"/>
        </w:rPr>
        <w:t>3.2思想政治教育</w:t>
      </w:r>
      <w:bookmarkEnd w:id="105"/>
      <w:bookmarkEnd w:id="106"/>
      <w:bookmarkEnd w:id="107"/>
      <w:bookmarkEnd w:id="108"/>
      <w:bookmarkEnd w:id="109"/>
      <w:bookmarkEnd w:id="110"/>
      <w:bookmarkEnd w:id="111"/>
    </w:p>
    <w:p>
      <w:pPr>
        <w:spacing w:line="520" w:lineRule="exact"/>
        <w:ind w:firstLine="562" w:firstLineChars="200"/>
        <w:jc w:val="left"/>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（1）依据</w:t>
      </w:r>
      <w:r>
        <w:rPr>
          <w:rFonts w:ascii="仿宋" w:hAnsi="仿宋" w:eastAsia="仿宋"/>
          <w:b/>
          <w:color w:val="000000" w:themeColor="text1"/>
          <w:sz w:val="28"/>
          <w:szCs w:val="28"/>
          <w14:textFill>
            <w14:solidFill>
              <w14:schemeClr w14:val="tx1"/>
            </w14:solidFill>
          </w14:textFill>
        </w:rPr>
        <w:t>国家</w:t>
      </w:r>
      <w:r>
        <w:rPr>
          <w:rFonts w:hint="eastAsia" w:ascii="仿宋" w:hAnsi="仿宋" w:eastAsia="仿宋"/>
          <w:b/>
          <w:color w:val="000000" w:themeColor="text1"/>
          <w:sz w:val="28"/>
          <w:szCs w:val="28"/>
          <w14:textFill>
            <w14:solidFill>
              <w14:schemeClr w14:val="tx1"/>
            </w14:solidFill>
          </w14:textFill>
        </w:rPr>
        <w:t>规定</w:t>
      </w:r>
      <w:r>
        <w:rPr>
          <w:rFonts w:ascii="仿宋" w:hAnsi="仿宋" w:eastAsia="仿宋"/>
          <w:b/>
          <w:color w:val="000000" w:themeColor="text1"/>
          <w:sz w:val="28"/>
          <w:szCs w:val="28"/>
          <w14:textFill>
            <w14:solidFill>
              <w14:schemeClr w14:val="tx1"/>
            </w14:solidFill>
          </w14:textFill>
        </w:rPr>
        <w:t>设置</w:t>
      </w:r>
      <w:r>
        <w:rPr>
          <w:rFonts w:hint="eastAsia" w:ascii="仿宋" w:hAnsi="仿宋" w:eastAsia="仿宋"/>
          <w:b/>
          <w:color w:val="000000" w:themeColor="text1"/>
          <w:sz w:val="28"/>
          <w:szCs w:val="28"/>
          <w14:textFill>
            <w14:solidFill>
              <w14:schemeClr w14:val="tx1"/>
            </w14:solidFill>
          </w14:textFill>
        </w:rPr>
        <w:t>思想</w:t>
      </w:r>
      <w:r>
        <w:rPr>
          <w:rFonts w:ascii="仿宋" w:hAnsi="仿宋" w:eastAsia="仿宋"/>
          <w:b/>
          <w:color w:val="000000" w:themeColor="text1"/>
          <w:sz w:val="28"/>
          <w:szCs w:val="28"/>
          <w14:textFill>
            <w14:solidFill>
              <w14:schemeClr w14:val="tx1"/>
            </w14:solidFill>
          </w14:textFill>
        </w:rPr>
        <w:t>政治</w:t>
      </w:r>
      <w:r>
        <w:rPr>
          <w:rFonts w:hint="eastAsia" w:ascii="仿宋" w:hAnsi="仿宋" w:eastAsia="仿宋"/>
          <w:b/>
          <w:color w:val="000000" w:themeColor="text1"/>
          <w:sz w:val="28"/>
          <w:szCs w:val="28"/>
          <w14:textFill>
            <w14:solidFill>
              <w14:schemeClr w14:val="tx1"/>
            </w14:solidFill>
          </w14:textFill>
        </w:rPr>
        <w:t>课程</w:t>
      </w:r>
    </w:p>
    <w:p>
      <w:pPr>
        <w:spacing w:line="520" w:lineRule="exact"/>
        <w:ind w:firstLine="560" w:firstLineChars="200"/>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学院成立了思想政治教育部，负责并承担全院学生思想政治理论课教学与研究任务，统一管理思想政治理论课教师的教学工作。全院思想政治理论课程严格执行国家规定的学分和学时开设，其中《思想道德修养与法律基础》、《毛泽东思想和中国特色社会主义理论体系概论》周课时4节，总学时均为72节；全部实行小班教学，保证了新课程方案的顺利实施并取得良好效果。《形势与政策》课程按照教育部每学期下发的教学要点并结合重大时事问题进行教学，每学期为学生讲授2-3个专题，内容分别涵盖政治、经济、文化、社会生活等领域，并兼顾国内与国际，每个专题确立一名负责人，负责专题的讲解。本学年共开展“形势与政策”专题讲座28场，入党积极分子培训11场、发展对象培训10场。开展了社会主义有点潮演讲、征文比赛等系列活动。在重大活动、重大事件、重要节庆日，利用电子屏、学院网站、微信公众号、广播站、院报、橱窗等开展系列主题教育活动，暑假组织师生参加了“情牵脱贫攻坚”实践活动。</w:t>
      </w:r>
    </w:p>
    <w:p>
      <w:pPr>
        <w:jc w:val="center"/>
        <w:rPr>
          <w:rFonts w:ascii="仿宋" w:hAnsi="仿宋" w:eastAsia="仿宋"/>
          <w:color w:val="000000" w:themeColor="text1"/>
          <w:sz w:val="28"/>
          <w:szCs w:val="28"/>
          <w14:textFill>
            <w14:solidFill>
              <w14:schemeClr w14:val="tx1"/>
            </w14:solidFill>
          </w14:textFill>
        </w:rPr>
      </w:pPr>
      <w:r>
        <w:rPr>
          <w:rFonts w:ascii="宋体" w:hAnsi="宋体" w:eastAsia="宋体" w:cs="宋体"/>
          <w:sz w:val="24"/>
          <w:szCs w:val="24"/>
        </w:rPr>
        <w:drawing>
          <wp:inline distT="0" distB="0" distL="114300" distR="114300">
            <wp:extent cx="304800" cy="304800"/>
            <wp:effectExtent l="0" t="0" r="0" b="0"/>
            <wp:docPr id="2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IMG_256"/>
                    <pic:cNvPicPr>
                      <a:picLocks noChangeAspect="1"/>
                    </pic:cNvPicPr>
                  </pic:nvPicPr>
                  <pic:blipFill>
                    <a:blip r:embed="rId31"/>
                    <a:stretch>
                      <a:fillRect/>
                    </a:stretch>
                  </pic:blipFill>
                  <pic:spPr>
                    <a:xfrm>
                      <a:off x="0" y="0"/>
                      <a:ext cx="304800" cy="304800"/>
                    </a:xfrm>
                    <a:prstGeom prst="rect">
                      <a:avLst/>
                    </a:prstGeom>
                    <a:noFill/>
                    <a:ln w="9525">
                      <a:noFill/>
                    </a:ln>
                  </pic:spPr>
                </pic:pic>
              </a:graphicData>
            </a:graphic>
          </wp:inline>
        </w:drawing>
      </w:r>
      <w:r>
        <w:rPr>
          <w:rFonts w:hint="eastAsia" w:ascii="仿宋" w:hAnsi="仿宋" w:eastAsia="仿宋"/>
          <w:color w:val="000000" w:themeColor="text1"/>
          <w:sz w:val="28"/>
          <w:szCs w:val="28"/>
          <w14:textFill>
            <w14:solidFill>
              <w14:schemeClr w14:val="tx1"/>
            </w14:solidFill>
          </w14:textFill>
        </w:rPr>
        <w:drawing>
          <wp:inline distT="0" distB="0" distL="114300" distR="114300">
            <wp:extent cx="3644265" cy="2428240"/>
            <wp:effectExtent l="0" t="0" r="13335" b="10160"/>
            <wp:docPr id="30" name="图片 30" descr="情牵脱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情牵脱贫"/>
                    <pic:cNvPicPr>
                      <a:picLocks noChangeAspect="1"/>
                    </pic:cNvPicPr>
                  </pic:nvPicPr>
                  <pic:blipFill>
                    <a:blip r:embed="rId32"/>
                    <a:stretch>
                      <a:fillRect/>
                    </a:stretch>
                  </pic:blipFill>
                  <pic:spPr>
                    <a:xfrm>
                      <a:off x="0" y="0"/>
                      <a:ext cx="3644265" cy="2428240"/>
                    </a:xfrm>
                    <a:prstGeom prst="rect">
                      <a:avLst/>
                    </a:prstGeom>
                  </pic:spPr>
                </pic:pic>
              </a:graphicData>
            </a:graphic>
          </wp:inline>
        </w:drawing>
      </w:r>
    </w:p>
    <w:p>
      <w:pPr>
        <w:jc w:val="center"/>
        <w:rPr>
          <w:rFonts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图为情牵脱贫攻坚活动出征仪式</w:t>
      </w:r>
    </w:p>
    <w:p>
      <w:pPr>
        <w:spacing w:line="480" w:lineRule="exact"/>
        <w:ind w:firstLine="562" w:firstLineChars="200"/>
        <w:jc w:val="left"/>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（2）加</w:t>
      </w:r>
      <w:r>
        <w:rPr>
          <w:rFonts w:ascii="仿宋" w:hAnsi="仿宋" w:eastAsia="仿宋"/>
          <w:b/>
          <w:color w:val="000000" w:themeColor="text1"/>
          <w:sz w:val="28"/>
          <w:szCs w:val="28"/>
          <w14:textFill>
            <w14:solidFill>
              <w14:schemeClr w14:val="tx1"/>
            </w14:solidFill>
          </w14:textFill>
        </w:rPr>
        <w:t>大</w:t>
      </w:r>
      <w:r>
        <w:rPr>
          <w:rFonts w:hint="eastAsia" w:ascii="仿宋" w:hAnsi="仿宋" w:eastAsia="仿宋"/>
          <w:b/>
          <w:color w:val="000000" w:themeColor="text1"/>
          <w:sz w:val="28"/>
          <w:szCs w:val="28"/>
          <w14:textFill>
            <w14:solidFill>
              <w14:schemeClr w14:val="tx1"/>
            </w14:solidFill>
          </w14:textFill>
        </w:rPr>
        <w:t>思政课教师队伍建设力度，实行思想政治理论课专任教师任职资格准入制</w:t>
      </w:r>
    </w:p>
    <w:p>
      <w:pPr>
        <w:spacing w:line="480" w:lineRule="exact"/>
        <w:ind w:firstLine="560" w:firstLineChars="200"/>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目前专任教师17人，教师的职称结构为：副教授5名，高级讲师1人，讲师8名，助教3名；年龄结构为：45—55岁6人，35—45岁8人，35岁以下3人。师生比为1：374，符合教育部关于师生比不低于1:400的要求。</w:t>
      </w:r>
    </w:p>
    <w:p>
      <w:pPr>
        <w:spacing w:line="480" w:lineRule="exact"/>
        <w:ind w:left="601"/>
        <w:jc w:val="left"/>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（3）重视思想政治课程教学资源建设</w:t>
      </w:r>
    </w:p>
    <w:p>
      <w:pPr>
        <w:spacing w:line="480" w:lineRule="exact"/>
        <w:ind w:firstLine="560" w:firstLineChars="200"/>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所有思想政治课程全部使用高等教育出版社教材，三年制大专教材均为国家马克思主义理论研究和建设工程重点教材、思想政治理论课统编教材；《形势与政策》选用由中宣部和教育部组织制作的《时事报告(大学生版)》作为教学辅导资料。思政课教师积极参加学院的课程建设与评价，有3名思政教师的课程被评为A等优质课程。</w:t>
      </w:r>
    </w:p>
    <w:p>
      <w:pPr>
        <w:overflowPunct w:val="0"/>
        <w:spacing w:line="480" w:lineRule="exact"/>
        <w:ind w:firstLine="562" w:firstLineChars="200"/>
        <w:jc w:val="left"/>
        <w:rPr>
          <w:rFonts w:ascii="仿宋_GB2312" w:hAnsi="仿宋_GB2312" w:eastAsia="仿宋_GB2312" w:cs="仿宋_GB2312"/>
          <w:bCs/>
          <w:sz w:val="28"/>
          <w:szCs w:val="28"/>
        </w:rPr>
      </w:pPr>
      <w:r>
        <w:rPr>
          <w:rFonts w:hint="eastAsia" w:ascii="仿宋_GB2312" w:hAnsi="仿宋_GB2312" w:eastAsia="仿宋_GB2312" w:cs="仿宋_GB2312"/>
          <w:b/>
          <w:sz w:val="28"/>
          <w:szCs w:val="28"/>
        </w:rPr>
        <w:t>（4）校园文化育人</w:t>
      </w:r>
    </w:p>
    <w:p>
      <w:pPr>
        <w:spacing w:line="480" w:lineRule="exact"/>
        <w:ind w:firstLine="562" w:firstLineChars="200"/>
        <w:jc w:val="left"/>
        <w:rPr>
          <w:rFonts w:ascii="仿宋_GB2312" w:eastAsia="仿宋_GB2312"/>
          <w:sz w:val="28"/>
          <w:szCs w:val="28"/>
        </w:rPr>
      </w:pPr>
      <w:r>
        <w:rPr>
          <w:rFonts w:hint="eastAsia" w:ascii="仿宋_GB2312" w:eastAsia="仿宋_GB2312"/>
          <w:b/>
          <w:bCs/>
          <w:sz w:val="28"/>
          <w:szCs w:val="28"/>
        </w:rPr>
        <w:t>环境文化育人。</w:t>
      </w:r>
      <w:r>
        <w:rPr>
          <w:rFonts w:hint="eastAsia" w:ascii="仿宋_GB2312" w:eastAsia="仿宋_GB2312"/>
          <w:sz w:val="28"/>
          <w:szCs w:val="28"/>
        </w:rPr>
        <w:t>学院着力优化校园环境文化，实施校园绿化、净化、美化、灯化工程。对校园的美化、绿化、灯化进行统一规划和建设，已建成5个主题绿色文化园，对学院主校道和重点景观进行了灯化。坚持把理论课堂、实训车间、学生宿舍、师生食堂作为重要的育人载体，每一环节都精心设计，让其充分发挥精神引领、文化熏陶、价值观养成的重要作用，从大局着眼立意，从小处入手落实，既解决日常学习生活等实际问题，又解决理想信念价值等思想问题，既塑造人格品行，又拓展能力素质，以潜移默化、润物无声的方式，为学生烙下充满正能量的深沉厚重的人生底色。</w:t>
      </w:r>
    </w:p>
    <w:p>
      <w:pPr>
        <w:jc w:val="center"/>
      </w:pPr>
      <w:r>
        <w:drawing>
          <wp:inline distT="0" distB="0" distL="114300" distR="114300">
            <wp:extent cx="2654300" cy="1767840"/>
            <wp:effectExtent l="0" t="0" r="12700" b="3810"/>
            <wp:docPr id="135171" name="Picture 3" descr="C:\Users\Administrator\20160705150430_8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1" name="Picture 3" descr="C:\Users\Administrator\20160705150430_8906.jpg"/>
                    <pic:cNvPicPr>
                      <a:picLocks noChangeAspect="1" noChangeArrowheads="1"/>
                    </pic:cNvPicPr>
                  </pic:nvPicPr>
                  <pic:blipFill>
                    <a:blip r:embed="rId33" cstate="print"/>
                    <a:srcRect/>
                    <a:stretch>
                      <a:fillRect/>
                    </a:stretch>
                  </pic:blipFill>
                  <pic:spPr>
                    <a:xfrm>
                      <a:off x="0" y="0"/>
                      <a:ext cx="2654300" cy="1767840"/>
                    </a:xfrm>
                    <a:prstGeom prst="rect">
                      <a:avLst/>
                    </a:prstGeom>
                    <a:noFill/>
                  </pic:spPr>
                </pic:pic>
              </a:graphicData>
            </a:graphic>
          </wp:inline>
        </w:drawing>
      </w:r>
      <w:r>
        <w:drawing>
          <wp:inline distT="0" distB="0" distL="114300" distR="114300">
            <wp:extent cx="1298575" cy="1751965"/>
            <wp:effectExtent l="0" t="0" r="15875" b="635"/>
            <wp:docPr id="135172" name="Picture 4" descr="C:\Users\Administrator\20160705150448_6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2" name="Picture 4" descr="C:\Users\Administrator\20160705150448_6250.jpg"/>
                    <pic:cNvPicPr>
                      <a:picLocks noChangeAspect="1" noChangeArrowheads="1"/>
                    </pic:cNvPicPr>
                  </pic:nvPicPr>
                  <pic:blipFill>
                    <a:blip r:embed="rId34" cstate="print"/>
                    <a:srcRect/>
                    <a:stretch>
                      <a:fillRect/>
                    </a:stretch>
                  </pic:blipFill>
                  <pic:spPr>
                    <a:xfrm>
                      <a:off x="0" y="0"/>
                      <a:ext cx="1298575" cy="1751965"/>
                    </a:xfrm>
                    <a:prstGeom prst="rect">
                      <a:avLst/>
                    </a:prstGeom>
                    <a:noFill/>
                  </pic:spPr>
                </pic:pic>
              </a:graphicData>
            </a:graphic>
          </wp:inline>
        </w:drawing>
      </w:r>
    </w:p>
    <w:p>
      <w:pPr>
        <w:jc w:val="center"/>
        <w:rPr>
          <w:rFonts w:ascii="楷体" w:hAnsi="楷体" w:eastAsia="楷体" w:cs="楷体"/>
        </w:rPr>
      </w:pPr>
      <w:r>
        <w:rPr>
          <w:rFonts w:hint="eastAsia" w:ascii="楷体" w:hAnsi="楷体" w:eastAsia="楷体" w:cs="楷体"/>
        </w:rPr>
        <w:t>图为校园文化石</w:t>
      </w:r>
    </w:p>
    <w:p>
      <w:pPr>
        <w:spacing w:line="520" w:lineRule="exact"/>
        <w:ind w:firstLine="562" w:firstLineChars="200"/>
        <w:rPr>
          <w:rFonts w:ascii="仿宋_GB2312" w:eastAsia="仿宋_GB2312"/>
          <w:sz w:val="28"/>
          <w:szCs w:val="28"/>
        </w:rPr>
      </w:pPr>
      <w:r>
        <w:rPr>
          <w:rFonts w:hint="eastAsia" w:ascii="仿宋_GB2312" w:eastAsia="仿宋_GB2312"/>
          <w:b/>
          <w:bCs/>
          <w:sz w:val="28"/>
          <w:szCs w:val="28"/>
        </w:rPr>
        <w:t>传统文化育人。</w:t>
      </w:r>
      <w:r>
        <w:rPr>
          <w:rFonts w:hint="eastAsia" w:ascii="仿宋_GB2312" w:eastAsia="仿宋_GB2312"/>
          <w:sz w:val="28"/>
          <w:szCs w:val="28"/>
        </w:rPr>
        <w:t>建设了文化宣传橱窗、建筑小品，</w:t>
      </w:r>
      <w:r>
        <w:rPr>
          <w:rFonts w:hint="eastAsia" w:ascii="仿宋_GB2312" w:eastAsia="仿宋_GB2312"/>
          <w:sz w:val="28"/>
          <w:szCs w:val="28"/>
          <w:lang w:eastAsia="zh-CN"/>
        </w:rPr>
        <w:t>学院</w:t>
      </w:r>
      <w:r>
        <w:rPr>
          <w:rFonts w:hint="eastAsia" w:ascii="仿宋_GB2312" w:eastAsia="仿宋_GB2312"/>
          <w:sz w:val="28"/>
          <w:szCs w:val="28"/>
        </w:rPr>
        <w:t>楼宇命名</w:t>
      </w:r>
      <w:r>
        <w:rPr>
          <w:rFonts w:hint="eastAsia" w:ascii="仿宋_GB2312" w:eastAsia="仿宋_GB2312"/>
          <w:sz w:val="28"/>
          <w:szCs w:val="28"/>
          <w:lang w:eastAsia="zh-CN"/>
        </w:rPr>
        <w:t>体现对中华传统文化的传承</w:t>
      </w:r>
      <w:r>
        <w:rPr>
          <w:rFonts w:hint="eastAsia" w:ascii="仿宋_GB2312" w:eastAsia="仿宋_GB2312"/>
          <w:sz w:val="28"/>
          <w:szCs w:val="28"/>
        </w:rPr>
        <w:t>，楼道牌匾以历史典故、名人格言为主题思想</w:t>
      </w:r>
      <w:r>
        <w:rPr>
          <w:rFonts w:hint="eastAsia" w:ascii="仿宋_GB2312" w:eastAsia="仿宋_GB2312"/>
          <w:sz w:val="28"/>
          <w:szCs w:val="28"/>
          <w:lang w:eastAsia="zh-CN"/>
        </w:rPr>
        <w:t>，</w:t>
      </w:r>
      <w:r>
        <w:rPr>
          <w:rFonts w:hint="eastAsia" w:ascii="仿宋_GB2312" w:eastAsia="仿宋_GB2312"/>
          <w:sz w:val="28"/>
          <w:szCs w:val="28"/>
        </w:rPr>
        <w:t>主校道及主题文化园竖立了文化石，并镌刻上校训，学风等励志名言，宣传积极向上，文明严肃的校风、学风。开展“首届中华诗文诵读”、国学经典知识竞赛、“中国语文朗读”及“夏青杯”朗读比赛等活动，提高学生对中华文化的认同。</w:t>
      </w:r>
    </w:p>
    <w:p>
      <w:pPr>
        <w:spacing w:line="520" w:lineRule="exact"/>
        <w:ind w:firstLine="562" w:firstLineChars="200"/>
        <w:rPr>
          <w:rFonts w:ascii="仿宋_GB2312" w:eastAsia="仿宋_GB2312"/>
          <w:sz w:val="28"/>
          <w:szCs w:val="28"/>
        </w:rPr>
      </w:pPr>
      <w:r>
        <w:rPr>
          <w:rFonts w:hint="eastAsia" w:ascii="仿宋_GB2312" w:eastAsia="仿宋_GB2312"/>
          <w:b/>
          <w:bCs/>
          <w:sz w:val="28"/>
          <w:szCs w:val="28"/>
        </w:rPr>
        <w:t>德育文化育人。</w:t>
      </w:r>
      <w:r>
        <w:rPr>
          <w:rFonts w:hint="eastAsia" w:ascii="仿宋_GB2312" w:eastAsia="仿宋_GB2312"/>
          <w:sz w:val="28"/>
          <w:szCs w:val="28"/>
        </w:rPr>
        <w:t>通过开展“爱我国防”主题演讲、十九大报告理论学习、参与邵阳市烈士公祭、“珍爱信用记录 享受幸福人生”知识学习等活动，营造浓厚的德育文化氛围，切实加强班集体建设，深入开展爱国主义、集体主义教育活动，抓好大学生思想道德建设。通过这些活动对学生进行了爱党、爱国、爱校教育、养成教育，在学生中形成爱党爱国爱校、关心集体、尊敬师长、勤奋学习、团结互动、遵纪守法的良好观念和行为习惯。</w:t>
      </w:r>
    </w:p>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4344035" cy="2454910"/>
            <wp:effectExtent l="0" t="0" r="18415" b="2540"/>
            <wp:docPr id="2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IMG_256"/>
                    <pic:cNvPicPr>
                      <a:picLocks noChangeAspect="1"/>
                    </pic:cNvPicPr>
                  </pic:nvPicPr>
                  <pic:blipFill>
                    <a:blip r:embed="rId35"/>
                    <a:stretch>
                      <a:fillRect/>
                    </a:stretch>
                  </pic:blipFill>
                  <pic:spPr>
                    <a:xfrm>
                      <a:off x="0" y="0"/>
                      <a:ext cx="4344035" cy="2454910"/>
                    </a:xfrm>
                    <a:prstGeom prst="rect">
                      <a:avLst/>
                    </a:prstGeom>
                    <a:noFill/>
                    <a:ln w="9525">
                      <a:noFill/>
                    </a:ln>
                  </pic:spPr>
                </pic:pic>
              </a:graphicData>
            </a:graphic>
          </wp:inline>
        </w:drawing>
      </w:r>
    </w:p>
    <w:p>
      <w:pPr>
        <w:jc w:val="center"/>
        <w:rPr>
          <w:rFonts w:ascii="楷体" w:hAnsi="楷体" w:eastAsia="楷体" w:cs="楷体"/>
        </w:rPr>
      </w:pPr>
      <w:r>
        <w:rPr>
          <w:rFonts w:hint="eastAsia" w:ascii="楷体" w:hAnsi="楷体" w:eastAsia="楷体" w:cs="楷体"/>
        </w:rPr>
        <w:t>图为学生参加邵阳市烈士公祭仪式</w:t>
      </w:r>
    </w:p>
    <w:p>
      <w:pPr>
        <w:spacing w:line="520" w:lineRule="exact"/>
        <w:ind w:firstLine="562" w:firstLineChars="200"/>
        <w:rPr>
          <w:rFonts w:ascii="仿宋_GB2312" w:hAnsi="仿宋_GB2312" w:eastAsia="仿宋_GB2312" w:cs="仿宋_GB2312"/>
          <w:sz w:val="28"/>
          <w:szCs w:val="28"/>
        </w:rPr>
      </w:pPr>
      <w:r>
        <w:rPr>
          <w:rFonts w:hint="eastAsia" w:ascii="仿宋_GB2312" w:eastAsia="仿宋_GB2312"/>
          <w:b/>
          <w:bCs/>
          <w:sz w:val="28"/>
          <w:szCs w:val="28"/>
          <w:lang w:eastAsia="zh-CN"/>
        </w:rPr>
        <w:t>行为文化</w:t>
      </w:r>
      <w:r>
        <w:rPr>
          <w:rFonts w:hint="eastAsia" w:ascii="仿宋_GB2312" w:eastAsia="仿宋_GB2312"/>
          <w:b/>
          <w:bCs/>
          <w:sz w:val="28"/>
          <w:szCs w:val="28"/>
        </w:rPr>
        <w:t>育人。</w:t>
      </w:r>
      <w:r>
        <w:rPr>
          <w:rFonts w:hint="eastAsia" w:ascii="仿宋_GB2312" w:eastAsia="仿宋_GB2312"/>
          <w:sz w:val="28"/>
          <w:szCs w:val="28"/>
        </w:rPr>
        <w:t>学</w:t>
      </w:r>
      <w:r>
        <w:rPr>
          <w:rFonts w:hint="eastAsia" w:ascii="仿宋_GB2312" w:hAnsi="仿宋_GB2312" w:eastAsia="仿宋_GB2312" w:cs="仿宋_GB2312"/>
          <w:sz w:val="28"/>
          <w:szCs w:val="28"/>
        </w:rPr>
        <w:t>院高度重视落实学生行为文化建设。学院在学生行为文化建设方面，一是着力于诚信教育；二是主张自主教育；三是加强感恩教育，</w:t>
      </w:r>
      <w:r>
        <w:rPr>
          <w:rFonts w:hint="eastAsia" w:ascii="仿宋_GB2312" w:hAnsi="仿宋_GB2312" w:eastAsia="仿宋_GB2312" w:cs="仿宋_GB2312"/>
          <w:color w:val="000000" w:themeColor="text1"/>
          <w:sz w:val="28"/>
          <w:szCs w:val="28"/>
          <w14:textFill>
            <w14:solidFill>
              <w14:schemeClr w14:val="tx1"/>
            </w14:solidFill>
          </w14:textFill>
        </w:rPr>
        <w:t>组织志愿者参加了创国卫清扫街道、清除牛皮癣、交通劝导、义务植树、关注福利院、助力高考以及湘商大会等志愿服务活动，</w:t>
      </w:r>
      <w:r>
        <w:rPr>
          <w:rFonts w:hint="eastAsia" w:ascii="仿宋_GB2312" w:hAnsi="仿宋_GB2312" w:eastAsia="仿宋_GB2312" w:cs="仿宋_GB2312"/>
          <w:sz w:val="28"/>
          <w:szCs w:val="28"/>
        </w:rPr>
        <w:t>宣扬“一方有难、八方支援”的中华民族美德，对学生进行生动的爱心教育；四是注重好学力行，教育学生要以学为本，要学以致用，努力做到“知行合一”，帮助学生发现自己，肯定自己，体验进步与成功的快乐。</w:t>
      </w:r>
    </w:p>
    <w:p>
      <w:pPr>
        <w:spacing w:line="520" w:lineRule="exact"/>
        <w:ind w:firstLine="562" w:firstLineChars="200"/>
        <w:rPr>
          <w:rFonts w:ascii="仿宋_GB2312" w:eastAsia="仿宋_GB2312"/>
          <w:b/>
          <w:bCs/>
          <w:sz w:val="24"/>
          <w:szCs w:val="24"/>
        </w:rPr>
      </w:pPr>
      <w:r>
        <w:rPr>
          <w:rFonts w:hint="eastAsia" w:ascii="仿宋_GB2312" w:eastAsia="仿宋_GB2312"/>
          <w:b/>
          <w:bCs/>
          <w:sz w:val="28"/>
          <w:szCs w:val="28"/>
        </w:rPr>
        <w:t>社团</w:t>
      </w:r>
      <w:r>
        <w:rPr>
          <w:rFonts w:hint="eastAsia" w:ascii="仿宋_GB2312" w:eastAsia="仿宋_GB2312"/>
          <w:b/>
          <w:bCs/>
          <w:sz w:val="28"/>
          <w:szCs w:val="28"/>
          <w:lang w:eastAsia="zh-CN"/>
        </w:rPr>
        <w:t>文化</w:t>
      </w:r>
      <w:r>
        <w:rPr>
          <w:rFonts w:hint="eastAsia" w:ascii="仿宋_GB2312" w:eastAsia="仿宋_GB2312"/>
          <w:b/>
          <w:bCs/>
          <w:sz w:val="28"/>
          <w:szCs w:val="28"/>
        </w:rPr>
        <w:t>育人。</w:t>
      </w:r>
      <w:r>
        <w:rPr>
          <w:rFonts w:hint="eastAsia" w:ascii="仿宋_GB2312" w:eastAsia="仿宋_GB2312"/>
          <w:sz w:val="28"/>
          <w:szCs w:val="28"/>
        </w:rPr>
        <w:t>开展丰富多彩的学生社团活动，把学生课外实践活动做为学生知识能力、素质提升的重要载体，大力打造学生社团活动平台，重点培植了演讲协会、礼仪协会、志愿者协会等16个学生社团，让学生在自己喜爱的社团活动中张扬个性，得到锻炼，提升综合素质，全年组织40多场各类社团活动。</w:t>
      </w:r>
    </w:p>
    <w:p>
      <w:pPr>
        <w:ind w:firstLine="482" w:firstLineChars="200"/>
        <w:jc w:val="center"/>
        <w:rPr>
          <w:rFonts w:ascii="仿宋_GB2312" w:eastAsia="仿宋_GB2312"/>
          <w:b/>
          <w:bCs/>
          <w:sz w:val="24"/>
          <w:szCs w:val="24"/>
        </w:rPr>
      </w:pPr>
      <w:r>
        <w:rPr>
          <w:rFonts w:hint="eastAsia" w:ascii="仿宋_GB2312" w:eastAsia="仿宋_GB2312"/>
          <w:b/>
          <w:bCs/>
          <w:sz w:val="24"/>
          <w:szCs w:val="24"/>
        </w:rPr>
        <w:t>表</w:t>
      </w:r>
      <w:r>
        <w:rPr>
          <w:rFonts w:hint="eastAsia" w:ascii="Times New Roman" w:hAnsi="Times New Roman" w:eastAsia="仿宋_GB2312"/>
          <w:b/>
          <w:sz w:val="24"/>
        </w:rPr>
        <w:t>3-2</w:t>
      </w:r>
      <w:r>
        <w:rPr>
          <w:rFonts w:hint="eastAsia" w:ascii="仿宋_GB2312" w:eastAsia="仿宋_GB2312"/>
          <w:b/>
          <w:bCs/>
          <w:sz w:val="24"/>
          <w:szCs w:val="24"/>
        </w:rPr>
        <w:t xml:space="preserve"> 学生社团一览表</w:t>
      </w:r>
    </w:p>
    <w:tbl>
      <w:tblPr>
        <w:tblStyle w:val="9"/>
        <w:tblW w:w="8033" w:type="dxa"/>
        <w:tblInd w:w="3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3480"/>
        <w:gridCol w:w="1830"/>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exact"/>
        </w:trPr>
        <w:tc>
          <w:tcPr>
            <w:tcW w:w="887" w:type="dxa"/>
            <w:tcBorders>
              <w:top w:val="single" w:color="auto" w:sz="12" w:space="0"/>
              <w:left w:val="single" w:color="auto" w:sz="12" w:space="0"/>
            </w:tcBorders>
            <w:shd w:val="clear" w:color="auto" w:fill="FFFFFF" w:themeFill="background1"/>
            <w:vAlign w:val="center"/>
          </w:tcPr>
          <w:p>
            <w:pPr>
              <w:jc w:val="center"/>
              <w:rPr>
                <w:rFonts w:ascii="Times New Roman" w:hAnsi="Times New Roman" w:eastAsia="仿宋_GB2312"/>
                <w:b/>
                <w:bCs/>
              </w:rPr>
            </w:pPr>
            <w:r>
              <w:rPr>
                <w:rFonts w:hint="eastAsia" w:ascii="Times New Roman" w:hAnsi="Times New Roman" w:eastAsia="仿宋_GB2312"/>
                <w:b/>
                <w:bCs/>
              </w:rPr>
              <w:t>序号</w:t>
            </w:r>
          </w:p>
        </w:tc>
        <w:tc>
          <w:tcPr>
            <w:tcW w:w="3480" w:type="dxa"/>
            <w:tcBorders>
              <w:top w:val="single" w:color="auto" w:sz="12" w:space="0"/>
            </w:tcBorders>
            <w:shd w:val="clear" w:color="auto" w:fill="FFFFFF" w:themeFill="background1"/>
            <w:vAlign w:val="center"/>
          </w:tcPr>
          <w:p>
            <w:pPr>
              <w:jc w:val="center"/>
              <w:rPr>
                <w:rFonts w:ascii="Times New Roman" w:hAnsi="Times New Roman" w:eastAsia="仿宋_GB2312"/>
                <w:b/>
                <w:bCs/>
              </w:rPr>
            </w:pPr>
            <w:r>
              <w:rPr>
                <w:rFonts w:hint="eastAsia" w:ascii="Times New Roman" w:hAnsi="Times New Roman" w:eastAsia="仿宋_GB2312"/>
                <w:b/>
                <w:bCs/>
              </w:rPr>
              <w:t>社团名称</w:t>
            </w:r>
          </w:p>
        </w:tc>
        <w:tc>
          <w:tcPr>
            <w:tcW w:w="1830" w:type="dxa"/>
            <w:tcBorders>
              <w:top w:val="single" w:color="auto" w:sz="12" w:space="0"/>
            </w:tcBorders>
            <w:shd w:val="clear" w:color="auto" w:fill="FFFFFF" w:themeFill="background1"/>
            <w:vAlign w:val="center"/>
          </w:tcPr>
          <w:p>
            <w:pPr>
              <w:jc w:val="center"/>
              <w:rPr>
                <w:rFonts w:ascii="Times New Roman" w:hAnsi="Times New Roman" w:eastAsia="仿宋_GB2312"/>
                <w:b/>
                <w:bCs/>
              </w:rPr>
            </w:pPr>
            <w:r>
              <w:rPr>
                <w:rFonts w:hint="eastAsia" w:ascii="Times New Roman" w:hAnsi="Times New Roman" w:eastAsia="仿宋_GB2312"/>
                <w:b/>
                <w:bCs/>
              </w:rPr>
              <w:t>社团类型</w:t>
            </w:r>
          </w:p>
        </w:tc>
        <w:tc>
          <w:tcPr>
            <w:tcW w:w="1836" w:type="dxa"/>
            <w:tcBorders>
              <w:top w:val="single" w:color="auto" w:sz="12" w:space="0"/>
              <w:right w:val="single" w:color="auto" w:sz="12" w:space="0"/>
            </w:tcBorders>
            <w:shd w:val="clear" w:color="auto" w:fill="FFFFFF" w:themeFill="background1"/>
            <w:vAlign w:val="center"/>
          </w:tcPr>
          <w:p>
            <w:pPr>
              <w:jc w:val="center"/>
              <w:rPr>
                <w:rFonts w:ascii="Times New Roman" w:hAnsi="Times New Roman" w:eastAsia="仿宋_GB2312"/>
                <w:b/>
                <w:bCs/>
              </w:rPr>
            </w:pPr>
            <w:r>
              <w:rPr>
                <w:rFonts w:hint="eastAsia" w:ascii="Times New Roman" w:hAnsi="Times New Roman" w:eastAsia="仿宋_GB2312"/>
                <w:b/>
                <w:bCs/>
              </w:rPr>
              <w:t>成立时间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887" w:type="dxa"/>
            <w:tcBorders>
              <w:left w:val="single" w:color="auto" w:sz="12" w:space="0"/>
            </w:tcBorders>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1</w:t>
            </w:r>
          </w:p>
        </w:tc>
        <w:tc>
          <w:tcPr>
            <w:tcW w:w="3480" w:type="dxa"/>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乒乓球协会</w:t>
            </w:r>
          </w:p>
        </w:tc>
        <w:tc>
          <w:tcPr>
            <w:tcW w:w="1830" w:type="dxa"/>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体育</w:t>
            </w:r>
          </w:p>
        </w:tc>
        <w:tc>
          <w:tcPr>
            <w:tcW w:w="1836" w:type="dxa"/>
            <w:tcBorders>
              <w:right w:val="single" w:color="auto" w:sz="12" w:space="0"/>
            </w:tcBorders>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2005.09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887" w:type="dxa"/>
            <w:tcBorders>
              <w:left w:val="single" w:color="auto" w:sz="12" w:space="0"/>
            </w:tcBorders>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2</w:t>
            </w:r>
          </w:p>
        </w:tc>
        <w:tc>
          <w:tcPr>
            <w:tcW w:w="3480" w:type="dxa"/>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心理协会</w:t>
            </w:r>
          </w:p>
        </w:tc>
        <w:tc>
          <w:tcPr>
            <w:tcW w:w="1830" w:type="dxa"/>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综合</w:t>
            </w:r>
          </w:p>
        </w:tc>
        <w:tc>
          <w:tcPr>
            <w:tcW w:w="1836" w:type="dxa"/>
            <w:tcBorders>
              <w:right w:val="single" w:color="auto" w:sz="12" w:space="0"/>
            </w:tcBorders>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2007.09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887" w:type="dxa"/>
            <w:tcBorders>
              <w:left w:val="single" w:color="auto" w:sz="12" w:space="0"/>
            </w:tcBorders>
            <w:vAlign w:val="center"/>
          </w:tcPr>
          <w:p>
            <w:pPr>
              <w:jc w:val="center"/>
              <w:rPr>
                <w:rFonts w:ascii="Times New Roman" w:hAnsi="Times New Roman" w:eastAsia="仿宋_GB2312"/>
              </w:rPr>
            </w:pPr>
            <w:r>
              <w:rPr>
                <w:rFonts w:hint="eastAsia" w:ascii="Times New Roman" w:hAnsi="Times New Roman" w:eastAsia="仿宋_GB2312"/>
              </w:rPr>
              <w:t>3</w:t>
            </w:r>
          </w:p>
        </w:tc>
        <w:tc>
          <w:tcPr>
            <w:tcW w:w="3480" w:type="dxa"/>
            <w:vAlign w:val="center"/>
          </w:tcPr>
          <w:p>
            <w:pPr>
              <w:jc w:val="center"/>
              <w:rPr>
                <w:rFonts w:ascii="Times New Roman" w:hAnsi="Times New Roman" w:eastAsia="仿宋_GB2312"/>
              </w:rPr>
            </w:pPr>
            <w:r>
              <w:rPr>
                <w:rFonts w:hint="eastAsia" w:ascii="Times New Roman" w:hAnsi="Times New Roman" w:eastAsia="仿宋_GB2312"/>
              </w:rPr>
              <w:t>小草文学社</w:t>
            </w:r>
          </w:p>
        </w:tc>
        <w:tc>
          <w:tcPr>
            <w:tcW w:w="1830" w:type="dxa"/>
            <w:vAlign w:val="center"/>
          </w:tcPr>
          <w:p>
            <w:pPr>
              <w:jc w:val="center"/>
              <w:rPr>
                <w:rFonts w:ascii="Times New Roman" w:hAnsi="Times New Roman" w:eastAsia="仿宋_GB2312"/>
              </w:rPr>
            </w:pPr>
            <w:r>
              <w:rPr>
                <w:rFonts w:hint="eastAsia" w:ascii="Times New Roman" w:hAnsi="Times New Roman" w:eastAsia="仿宋_GB2312"/>
              </w:rPr>
              <w:t>文学</w:t>
            </w:r>
          </w:p>
        </w:tc>
        <w:tc>
          <w:tcPr>
            <w:tcW w:w="1836" w:type="dxa"/>
            <w:tcBorders>
              <w:right w:val="single" w:color="auto" w:sz="12" w:space="0"/>
            </w:tcBorders>
            <w:vAlign w:val="center"/>
          </w:tcPr>
          <w:p>
            <w:pPr>
              <w:jc w:val="center"/>
              <w:rPr>
                <w:rFonts w:ascii="Times New Roman" w:hAnsi="Times New Roman" w:eastAsia="仿宋_GB2312"/>
              </w:rPr>
            </w:pPr>
            <w:r>
              <w:rPr>
                <w:rFonts w:hint="eastAsia" w:ascii="Times New Roman" w:hAnsi="Times New Roman" w:eastAsia="仿宋_GB2312"/>
              </w:rPr>
              <w:t>2000.09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887" w:type="dxa"/>
            <w:tcBorders>
              <w:left w:val="single" w:color="auto" w:sz="12" w:space="0"/>
            </w:tcBorders>
            <w:vAlign w:val="center"/>
          </w:tcPr>
          <w:p>
            <w:pPr>
              <w:jc w:val="center"/>
              <w:rPr>
                <w:rFonts w:ascii="Times New Roman" w:hAnsi="Times New Roman" w:eastAsia="仿宋_GB2312"/>
              </w:rPr>
            </w:pPr>
            <w:r>
              <w:rPr>
                <w:rFonts w:hint="eastAsia" w:ascii="Times New Roman" w:hAnsi="Times New Roman" w:eastAsia="仿宋_GB2312"/>
              </w:rPr>
              <w:t>4</w:t>
            </w:r>
          </w:p>
        </w:tc>
        <w:tc>
          <w:tcPr>
            <w:tcW w:w="3480" w:type="dxa"/>
            <w:vAlign w:val="center"/>
          </w:tcPr>
          <w:p>
            <w:pPr>
              <w:jc w:val="center"/>
              <w:rPr>
                <w:rFonts w:ascii="Times New Roman" w:hAnsi="Times New Roman" w:eastAsia="仿宋_GB2312"/>
              </w:rPr>
            </w:pPr>
            <w:r>
              <w:rPr>
                <w:rFonts w:hint="eastAsia" w:ascii="Times New Roman" w:hAnsi="Times New Roman" w:eastAsia="仿宋_GB2312"/>
              </w:rPr>
              <w:t>创业协会</w:t>
            </w:r>
          </w:p>
        </w:tc>
        <w:tc>
          <w:tcPr>
            <w:tcW w:w="1830" w:type="dxa"/>
            <w:vAlign w:val="center"/>
          </w:tcPr>
          <w:p>
            <w:pPr>
              <w:jc w:val="center"/>
              <w:rPr>
                <w:rFonts w:ascii="Times New Roman" w:hAnsi="Times New Roman" w:eastAsia="仿宋_GB2312"/>
              </w:rPr>
            </w:pPr>
            <w:r>
              <w:rPr>
                <w:rFonts w:hint="eastAsia" w:ascii="Times New Roman" w:hAnsi="Times New Roman" w:eastAsia="仿宋_GB2312"/>
              </w:rPr>
              <w:t>综合</w:t>
            </w:r>
          </w:p>
        </w:tc>
        <w:tc>
          <w:tcPr>
            <w:tcW w:w="1836" w:type="dxa"/>
            <w:tcBorders>
              <w:right w:val="single" w:color="auto" w:sz="12" w:space="0"/>
            </w:tcBorders>
            <w:vAlign w:val="center"/>
          </w:tcPr>
          <w:p>
            <w:pPr>
              <w:jc w:val="center"/>
              <w:rPr>
                <w:rFonts w:ascii="Times New Roman" w:hAnsi="Times New Roman" w:eastAsia="仿宋_GB2312"/>
              </w:rPr>
            </w:pPr>
            <w:r>
              <w:rPr>
                <w:rFonts w:hint="eastAsia" w:ascii="Times New Roman" w:hAnsi="Times New Roman" w:eastAsia="仿宋_GB2312"/>
              </w:rPr>
              <w:t>2009.09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887" w:type="dxa"/>
            <w:tcBorders>
              <w:left w:val="single" w:color="auto" w:sz="12" w:space="0"/>
            </w:tcBorders>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5</w:t>
            </w:r>
          </w:p>
        </w:tc>
        <w:tc>
          <w:tcPr>
            <w:tcW w:w="3480" w:type="dxa"/>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演讲协会</w:t>
            </w:r>
          </w:p>
        </w:tc>
        <w:tc>
          <w:tcPr>
            <w:tcW w:w="1830" w:type="dxa"/>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文学</w:t>
            </w:r>
          </w:p>
        </w:tc>
        <w:tc>
          <w:tcPr>
            <w:tcW w:w="1836" w:type="dxa"/>
            <w:tcBorders>
              <w:right w:val="single" w:color="auto" w:sz="12" w:space="0"/>
            </w:tcBorders>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2004.09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887" w:type="dxa"/>
            <w:tcBorders>
              <w:left w:val="single" w:color="auto" w:sz="12" w:space="0"/>
            </w:tcBorders>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6</w:t>
            </w:r>
          </w:p>
        </w:tc>
        <w:tc>
          <w:tcPr>
            <w:tcW w:w="3480" w:type="dxa"/>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擎天武术协会</w:t>
            </w:r>
          </w:p>
        </w:tc>
        <w:tc>
          <w:tcPr>
            <w:tcW w:w="1830" w:type="dxa"/>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体育</w:t>
            </w:r>
          </w:p>
        </w:tc>
        <w:tc>
          <w:tcPr>
            <w:tcW w:w="1836" w:type="dxa"/>
            <w:tcBorders>
              <w:right w:val="single" w:color="auto" w:sz="12" w:space="0"/>
            </w:tcBorders>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2004.09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887" w:type="dxa"/>
            <w:tcBorders>
              <w:left w:val="single" w:color="auto" w:sz="12" w:space="0"/>
            </w:tcBorders>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7</w:t>
            </w:r>
          </w:p>
        </w:tc>
        <w:tc>
          <w:tcPr>
            <w:tcW w:w="3480" w:type="dxa"/>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雅姿礼仪协会</w:t>
            </w:r>
          </w:p>
        </w:tc>
        <w:tc>
          <w:tcPr>
            <w:tcW w:w="1830" w:type="dxa"/>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综合</w:t>
            </w:r>
          </w:p>
        </w:tc>
        <w:tc>
          <w:tcPr>
            <w:tcW w:w="1836" w:type="dxa"/>
            <w:tcBorders>
              <w:right w:val="single" w:color="auto" w:sz="12" w:space="0"/>
            </w:tcBorders>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2006.09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887" w:type="dxa"/>
            <w:tcBorders>
              <w:left w:val="single" w:color="auto" w:sz="12" w:space="0"/>
            </w:tcBorders>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8</w:t>
            </w:r>
          </w:p>
        </w:tc>
        <w:tc>
          <w:tcPr>
            <w:tcW w:w="3480" w:type="dxa"/>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篮球协会</w:t>
            </w:r>
          </w:p>
        </w:tc>
        <w:tc>
          <w:tcPr>
            <w:tcW w:w="1830" w:type="dxa"/>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体育</w:t>
            </w:r>
          </w:p>
        </w:tc>
        <w:tc>
          <w:tcPr>
            <w:tcW w:w="1836" w:type="dxa"/>
            <w:tcBorders>
              <w:right w:val="single" w:color="auto" w:sz="12" w:space="0"/>
            </w:tcBorders>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2006.09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887" w:type="dxa"/>
            <w:tcBorders>
              <w:left w:val="single" w:color="auto" w:sz="12" w:space="0"/>
            </w:tcBorders>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9</w:t>
            </w:r>
          </w:p>
        </w:tc>
        <w:tc>
          <w:tcPr>
            <w:tcW w:w="3480" w:type="dxa"/>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服装协会</w:t>
            </w:r>
          </w:p>
        </w:tc>
        <w:tc>
          <w:tcPr>
            <w:tcW w:w="1830" w:type="dxa"/>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专业</w:t>
            </w:r>
          </w:p>
        </w:tc>
        <w:tc>
          <w:tcPr>
            <w:tcW w:w="1836" w:type="dxa"/>
            <w:tcBorders>
              <w:right w:val="single" w:color="auto" w:sz="12" w:space="0"/>
            </w:tcBorders>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2005.09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887" w:type="dxa"/>
            <w:tcBorders>
              <w:left w:val="single" w:color="auto" w:sz="12" w:space="0"/>
            </w:tcBorders>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10</w:t>
            </w:r>
          </w:p>
        </w:tc>
        <w:tc>
          <w:tcPr>
            <w:tcW w:w="3480" w:type="dxa"/>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吉他协会</w:t>
            </w:r>
          </w:p>
        </w:tc>
        <w:tc>
          <w:tcPr>
            <w:tcW w:w="1830" w:type="dxa"/>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文艺</w:t>
            </w:r>
          </w:p>
        </w:tc>
        <w:tc>
          <w:tcPr>
            <w:tcW w:w="1836" w:type="dxa"/>
            <w:tcBorders>
              <w:right w:val="single" w:color="auto" w:sz="12" w:space="0"/>
            </w:tcBorders>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2010.09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887" w:type="dxa"/>
            <w:tcBorders>
              <w:left w:val="single" w:color="auto" w:sz="12" w:space="0"/>
            </w:tcBorders>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11</w:t>
            </w:r>
          </w:p>
        </w:tc>
        <w:tc>
          <w:tcPr>
            <w:tcW w:w="3480" w:type="dxa"/>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旅游协会</w:t>
            </w:r>
          </w:p>
        </w:tc>
        <w:tc>
          <w:tcPr>
            <w:tcW w:w="1830" w:type="dxa"/>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专业</w:t>
            </w:r>
          </w:p>
        </w:tc>
        <w:tc>
          <w:tcPr>
            <w:tcW w:w="1836" w:type="dxa"/>
            <w:tcBorders>
              <w:right w:val="single" w:color="auto" w:sz="12" w:space="0"/>
            </w:tcBorders>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2013.09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887" w:type="dxa"/>
            <w:tcBorders>
              <w:left w:val="single" w:color="auto" w:sz="12" w:space="0"/>
            </w:tcBorders>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12</w:t>
            </w:r>
          </w:p>
        </w:tc>
        <w:tc>
          <w:tcPr>
            <w:tcW w:w="3480" w:type="dxa"/>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青年志愿者协会</w:t>
            </w:r>
          </w:p>
        </w:tc>
        <w:tc>
          <w:tcPr>
            <w:tcW w:w="1830" w:type="dxa"/>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公益</w:t>
            </w:r>
          </w:p>
        </w:tc>
        <w:tc>
          <w:tcPr>
            <w:tcW w:w="1836" w:type="dxa"/>
            <w:tcBorders>
              <w:right w:val="single" w:color="auto" w:sz="12" w:space="0"/>
            </w:tcBorders>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2010.09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887" w:type="dxa"/>
            <w:tcBorders>
              <w:left w:val="single" w:color="auto" w:sz="12" w:space="0"/>
            </w:tcBorders>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13</w:t>
            </w:r>
          </w:p>
        </w:tc>
        <w:tc>
          <w:tcPr>
            <w:tcW w:w="3480" w:type="dxa"/>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羽毛球协会</w:t>
            </w:r>
          </w:p>
        </w:tc>
        <w:tc>
          <w:tcPr>
            <w:tcW w:w="1830" w:type="dxa"/>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体育</w:t>
            </w:r>
          </w:p>
        </w:tc>
        <w:tc>
          <w:tcPr>
            <w:tcW w:w="1836" w:type="dxa"/>
            <w:tcBorders>
              <w:right w:val="single" w:color="auto" w:sz="12" w:space="0"/>
            </w:tcBorders>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2014.09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887" w:type="dxa"/>
            <w:tcBorders>
              <w:left w:val="single" w:color="auto" w:sz="12" w:space="0"/>
            </w:tcBorders>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14</w:t>
            </w:r>
          </w:p>
        </w:tc>
        <w:tc>
          <w:tcPr>
            <w:tcW w:w="3480" w:type="dxa"/>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灵轩传媒协会</w:t>
            </w:r>
          </w:p>
        </w:tc>
        <w:tc>
          <w:tcPr>
            <w:tcW w:w="1830" w:type="dxa"/>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专业</w:t>
            </w:r>
          </w:p>
        </w:tc>
        <w:tc>
          <w:tcPr>
            <w:tcW w:w="1836" w:type="dxa"/>
            <w:tcBorders>
              <w:right w:val="single" w:color="auto" w:sz="12" w:space="0"/>
            </w:tcBorders>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2015.09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887" w:type="dxa"/>
            <w:tcBorders>
              <w:left w:val="single" w:color="auto" w:sz="12" w:space="0"/>
            </w:tcBorders>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15</w:t>
            </w:r>
          </w:p>
        </w:tc>
        <w:tc>
          <w:tcPr>
            <w:tcW w:w="3480" w:type="dxa"/>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绿茵足球协会</w:t>
            </w:r>
          </w:p>
        </w:tc>
        <w:tc>
          <w:tcPr>
            <w:tcW w:w="1830" w:type="dxa"/>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体育</w:t>
            </w:r>
          </w:p>
        </w:tc>
        <w:tc>
          <w:tcPr>
            <w:tcW w:w="1836" w:type="dxa"/>
            <w:tcBorders>
              <w:right w:val="single" w:color="auto" w:sz="12" w:space="0"/>
            </w:tcBorders>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2016.03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887" w:type="dxa"/>
            <w:tcBorders>
              <w:left w:val="single" w:color="auto" w:sz="12" w:space="0"/>
              <w:bottom w:val="single" w:color="auto" w:sz="12" w:space="0"/>
            </w:tcBorders>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16</w:t>
            </w:r>
          </w:p>
        </w:tc>
        <w:tc>
          <w:tcPr>
            <w:tcW w:w="3480" w:type="dxa"/>
            <w:tcBorders>
              <w:bottom w:val="single" w:color="auto" w:sz="12" w:space="0"/>
            </w:tcBorders>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自由舞协会</w:t>
            </w:r>
          </w:p>
        </w:tc>
        <w:tc>
          <w:tcPr>
            <w:tcW w:w="1830" w:type="dxa"/>
            <w:tcBorders>
              <w:bottom w:val="single" w:color="auto" w:sz="12" w:space="0"/>
            </w:tcBorders>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体育</w:t>
            </w:r>
          </w:p>
        </w:tc>
        <w:tc>
          <w:tcPr>
            <w:tcW w:w="1836" w:type="dxa"/>
            <w:tcBorders>
              <w:bottom w:val="single" w:color="auto" w:sz="12" w:space="0"/>
              <w:right w:val="single" w:color="auto" w:sz="12" w:space="0"/>
            </w:tcBorders>
            <w:shd w:val="clear" w:color="auto" w:fill="FFFFFF" w:themeFill="background1"/>
            <w:vAlign w:val="center"/>
          </w:tcPr>
          <w:p>
            <w:pPr>
              <w:jc w:val="center"/>
              <w:rPr>
                <w:rFonts w:ascii="Times New Roman" w:hAnsi="Times New Roman" w:eastAsia="仿宋_GB2312"/>
              </w:rPr>
            </w:pPr>
            <w:r>
              <w:rPr>
                <w:rFonts w:hint="eastAsia" w:ascii="Times New Roman" w:hAnsi="Times New Roman" w:eastAsia="仿宋_GB2312"/>
              </w:rPr>
              <w:t>2016.04</w:t>
            </w:r>
          </w:p>
        </w:tc>
      </w:tr>
    </w:tbl>
    <w:p>
      <w:pPr>
        <w:jc w:val="center"/>
        <w:rPr>
          <w:rFonts w:ascii="楷体" w:hAnsi="楷体" w:eastAsia="楷体" w:cs="楷体"/>
        </w:rPr>
      </w:pPr>
      <w:r>
        <w:rPr>
          <w:rFonts w:hint="eastAsia" w:ascii="楷体" w:hAnsi="楷体" w:eastAsia="楷体" w:cs="楷体"/>
        </w:rPr>
        <w:t>数据来源:学院团委</w:t>
      </w:r>
    </w:p>
    <w:p>
      <w:pPr>
        <w:jc w:val="center"/>
        <w:rPr>
          <w:rFonts w:ascii="楷体" w:hAnsi="楷体" w:eastAsia="楷体" w:cs="楷体"/>
        </w:rPr>
      </w:pPr>
    </w:p>
    <w:p>
      <w:pPr>
        <w:rPr>
          <w:rFonts w:ascii="宋体" w:hAnsi="宋体" w:eastAsia="宋体" w:cs="宋体"/>
          <w:sz w:val="24"/>
          <w:szCs w:val="24"/>
        </w:rPr>
      </w:pPr>
      <w:r>
        <w:drawing>
          <wp:inline distT="0" distB="0" distL="114300" distR="114300">
            <wp:extent cx="2474595" cy="1638300"/>
            <wp:effectExtent l="0" t="0" r="1905" b="0"/>
            <wp:docPr id="1026" name="Picture 2" descr="E:\信息与传媒艺术系办公室电脑\宣传与招生\2016招生简章——邵阳职业技术学院图片\2016年招生简章所用图片\23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信息与传媒艺术系办公室电脑\宣传与招生\2016招生简章——邵阳职业技术学院图片\2016年招生简章所用图片\23 7.jpg"/>
                    <pic:cNvPicPr>
                      <a:picLocks noChangeAspect="1" noChangeArrowheads="1"/>
                    </pic:cNvPicPr>
                  </pic:nvPicPr>
                  <pic:blipFill>
                    <a:blip r:embed="rId36" cstate="print"/>
                    <a:srcRect/>
                    <a:stretch>
                      <a:fillRect/>
                    </a:stretch>
                  </pic:blipFill>
                  <pic:spPr>
                    <a:xfrm>
                      <a:off x="0" y="0"/>
                      <a:ext cx="2474763" cy="1638857"/>
                    </a:xfrm>
                    <a:prstGeom prst="rect">
                      <a:avLst/>
                    </a:prstGeom>
                    <a:noFill/>
                  </pic:spPr>
                </pic:pic>
              </a:graphicData>
            </a:graphic>
          </wp:inline>
        </w:drawing>
      </w:r>
      <w:r>
        <w:rPr>
          <w:rFonts w:ascii="宋体" w:hAnsi="宋体" w:eastAsia="宋体" w:cs="宋体"/>
          <w:sz w:val="24"/>
          <w:szCs w:val="24"/>
        </w:rPr>
        <w:drawing>
          <wp:inline distT="0" distB="0" distL="114300" distR="114300">
            <wp:extent cx="2472055" cy="1647825"/>
            <wp:effectExtent l="0" t="0" r="4445" b="9525"/>
            <wp:docPr id="3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descr="IMG_256"/>
                    <pic:cNvPicPr>
                      <a:picLocks noChangeAspect="1"/>
                    </pic:cNvPicPr>
                  </pic:nvPicPr>
                  <pic:blipFill>
                    <a:blip r:embed="rId37"/>
                    <a:stretch>
                      <a:fillRect/>
                    </a:stretch>
                  </pic:blipFill>
                  <pic:spPr>
                    <a:xfrm>
                      <a:off x="0" y="0"/>
                      <a:ext cx="2472055" cy="1647825"/>
                    </a:xfrm>
                    <a:prstGeom prst="rect">
                      <a:avLst/>
                    </a:prstGeom>
                    <a:noFill/>
                    <a:ln w="9525">
                      <a:noFill/>
                    </a:ln>
                  </pic:spPr>
                </pic:pic>
              </a:graphicData>
            </a:graphic>
          </wp:inline>
        </w:drawing>
      </w:r>
    </w:p>
    <w:p>
      <w:pPr>
        <w:ind w:firstLine="1050" w:firstLineChars="500"/>
        <w:rPr>
          <w:rFonts w:ascii="楷体" w:hAnsi="楷体" w:eastAsia="楷体" w:cs="楷体"/>
        </w:rPr>
      </w:pPr>
      <w:r>
        <w:rPr>
          <w:rFonts w:hint="eastAsia" w:ascii="楷体" w:hAnsi="楷体" w:eastAsia="楷体" w:cs="楷体"/>
        </w:rPr>
        <w:t xml:space="preserve">图为藏族学生活动 </w:t>
      </w:r>
      <w:r>
        <w:rPr>
          <w:rFonts w:hint="eastAsia" w:ascii="宋体" w:hAnsi="宋体" w:eastAsia="宋体" w:cs="宋体"/>
          <w:sz w:val="24"/>
          <w:szCs w:val="24"/>
        </w:rPr>
        <w:t xml:space="preserve">                  </w:t>
      </w:r>
      <w:r>
        <w:rPr>
          <w:rFonts w:hint="eastAsia" w:ascii="楷体" w:hAnsi="楷体" w:eastAsia="楷体" w:cs="楷体"/>
        </w:rPr>
        <w:t>图为手语舞竞赛</w:t>
      </w:r>
    </w:p>
    <w:p>
      <w:pPr>
        <w:spacing w:line="520" w:lineRule="exact"/>
        <w:rPr>
          <w:rFonts w:ascii="仿宋_GB2312" w:hAnsi="仿宋_GB2312" w:eastAsia="仿宋_GB2312" w:cs="仿宋_GB2312"/>
          <w:b/>
          <w:bCs/>
          <w:sz w:val="28"/>
          <w:szCs w:val="28"/>
        </w:rPr>
      </w:pPr>
      <w:bookmarkStart w:id="112" w:name="_Toc13675"/>
      <w:bookmarkStart w:id="113" w:name="_Toc11181"/>
      <w:bookmarkStart w:id="114" w:name="_Toc10344"/>
      <w:bookmarkStart w:id="115" w:name="_Toc8366"/>
      <w:bookmarkStart w:id="116" w:name="_Toc12481"/>
      <w:bookmarkStart w:id="117" w:name="_Toc22083"/>
      <w:bookmarkStart w:id="118" w:name="_Toc30565"/>
      <w:r>
        <w:rPr>
          <w:rFonts w:hint="eastAsia" w:ascii="仿宋_GB2312" w:hAnsi="仿宋_GB2312" w:eastAsia="仿宋_GB2312" w:cs="仿宋_GB2312"/>
          <w:b/>
          <w:bCs/>
          <w:sz w:val="28"/>
          <w:szCs w:val="28"/>
        </w:rPr>
        <w:t>3.3专业（群）建设</w:t>
      </w:r>
      <w:bookmarkEnd w:id="112"/>
      <w:bookmarkEnd w:id="113"/>
      <w:bookmarkEnd w:id="114"/>
      <w:bookmarkEnd w:id="115"/>
      <w:bookmarkEnd w:id="116"/>
      <w:bookmarkEnd w:id="117"/>
      <w:bookmarkEnd w:id="118"/>
    </w:p>
    <w:p>
      <w:pPr>
        <w:spacing w:line="520" w:lineRule="exact"/>
        <w:ind w:firstLine="562" w:firstLineChars="200"/>
        <w:rPr>
          <w:rFonts w:ascii="仿宋" w:hAnsi="仿宋" w:eastAsia="仿宋"/>
          <w:color w:val="000000" w:themeColor="text1"/>
          <w:sz w:val="28"/>
          <w:szCs w:val="28"/>
          <w14:textFill>
            <w14:solidFill>
              <w14:schemeClr w14:val="tx1"/>
            </w14:solidFill>
          </w14:textFill>
        </w:rPr>
      </w:pPr>
      <w:r>
        <w:rPr>
          <w:rFonts w:hint="eastAsia" w:ascii="仿宋_GB2312" w:eastAsia="仿宋_GB2312"/>
          <w:b/>
          <w:bCs/>
          <w:sz w:val="28"/>
          <w:szCs w:val="28"/>
        </w:rPr>
        <w:t>（1）完善专业动态调整机制，优化专业结构</w:t>
      </w:r>
    </w:p>
    <w:p>
      <w:pPr>
        <w:spacing w:line="520" w:lineRule="exact"/>
        <w:ind w:firstLine="560" w:firstLineChars="200"/>
        <w:rPr>
          <w:rFonts w:ascii="仿宋_GB2312" w:eastAsia="仿宋_GB2312"/>
          <w:sz w:val="28"/>
          <w:szCs w:val="28"/>
        </w:rPr>
      </w:pPr>
      <w:r>
        <w:rPr>
          <w:rFonts w:hint="eastAsia" w:ascii="仿宋_GB2312" w:eastAsia="仿宋_GB2312"/>
          <w:sz w:val="28"/>
          <w:szCs w:val="28"/>
        </w:rPr>
        <w:t>坚持对接邵阳地方产业,立足学院实际，切合市场需求，建立和完善专业动态调整机制，不断优化专业结构布局，自2015年以来，将原有的24个专业调整为17个专业，加强对机电一体化技术、电梯工程技术、汽车检测与维修技术、动物医学等重点和特色专业建设，</w:t>
      </w:r>
      <w:r>
        <w:rPr>
          <w:rFonts w:hint="eastAsia" w:ascii="仿宋_GB2312" w:eastAsia="仿宋_GB2312"/>
          <w:color w:val="auto"/>
          <w:sz w:val="28"/>
          <w:szCs w:val="28"/>
        </w:rPr>
        <w:t>形成了“做大做强先进装备制造类、新一代信息技术类专业，做精做优财经类、现代农业类专业，精心培育旅游、创意设计类专业”</w:t>
      </w:r>
      <w:r>
        <w:rPr>
          <w:rFonts w:hint="eastAsia" w:ascii="仿宋_GB2312" w:eastAsia="仿宋_GB2312"/>
          <w:sz w:val="28"/>
          <w:szCs w:val="28"/>
        </w:rPr>
        <w:t>的专业建设思路（见表3-1）。数据表明，2017年与2015年相比，近三年学院招生专业数量减少10.5%，开设专业减少12.5%，每个专业平均人数增长30.77%，专业规模越来越集中；8个重点和特色专业学生人数占全院学生人数的比例</w:t>
      </w:r>
      <w:r>
        <w:rPr>
          <w:rFonts w:hint="eastAsia" w:ascii="仿宋_GB2312" w:eastAsia="仿宋_GB2312"/>
          <w:sz w:val="28"/>
          <w:szCs w:val="28"/>
          <w:lang w:eastAsia="zh-CN"/>
        </w:rPr>
        <w:t>稳定在</w:t>
      </w:r>
      <w:r>
        <w:rPr>
          <w:rFonts w:hint="eastAsia" w:ascii="仿宋_GB2312" w:eastAsia="仿宋_GB2312"/>
          <w:sz w:val="28"/>
          <w:szCs w:val="28"/>
          <w:lang w:val="en-US" w:eastAsia="zh-CN"/>
        </w:rPr>
        <w:t>60%左右。</w:t>
      </w:r>
    </w:p>
    <w:p>
      <w:pPr>
        <w:jc w:val="center"/>
        <w:rPr>
          <w:rFonts w:ascii="仿宋_GB2312" w:eastAsia="仿宋_GB2312"/>
          <w:sz w:val="24"/>
          <w:szCs w:val="24"/>
        </w:rPr>
      </w:pPr>
      <w:r>
        <w:rPr>
          <w:rFonts w:hint="eastAsia" w:ascii="仿宋_GB2312" w:eastAsia="仿宋_GB2312"/>
          <w:b/>
          <w:bCs/>
          <w:sz w:val="24"/>
          <w:szCs w:val="24"/>
        </w:rPr>
        <w:t>表</w:t>
      </w:r>
      <w:r>
        <w:rPr>
          <w:rFonts w:hint="eastAsia" w:ascii="Times New Roman" w:hAnsi="Times New Roman" w:eastAsia="仿宋_GB2312"/>
          <w:b/>
          <w:sz w:val="24"/>
        </w:rPr>
        <w:t>3-</w:t>
      </w:r>
      <w:r>
        <w:rPr>
          <w:rFonts w:hint="eastAsia" w:ascii="Times New Roman" w:hAnsi="Times New Roman" w:eastAsia="仿宋_GB2312"/>
          <w:b/>
          <w:sz w:val="24"/>
          <w:lang w:val="en-US" w:eastAsia="zh-CN"/>
        </w:rPr>
        <w:t>3</w:t>
      </w:r>
      <w:r>
        <w:rPr>
          <w:rFonts w:hint="eastAsia" w:ascii="仿宋_GB2312" w:eastAsia="仿宋_GB2312"/>
          <w:b/>
          <w:bCs/>
          <w:sz w:val="24"/>
          <w:szCs w:val="24"/>
        </w:rPr>
        <w:t xml:space="preserve">  </w:t>
      </w:r>
      <w:r>
        <w:rPr>
          <w:rFonts w:hint="eastAsia" w:ascii="Times New Roman" w:hAnsi="Times New Roman" w:eastAsia="仿宋_GB2312"/>
          <w:b/>
          <w:sz w:val="24"/>
        </w:rPr>
        <w:t>2015—2017</w:t>
      </w:r>
      <w:r>
        <w:rPr>
          <w:rFonts w:hint="eastAsia" w:ascii="仿宋_GB2312" w:eastAsia="仿宋_GB2312"/>
          <w:b/>
          <w:bCs/>
          <w:sz w:val="24"/>
          <w:szCs w:val="24"/>
        </w:rPr>
        <w:t>年学院专业调整表</w:t>
      </w:r>
    </w:p>
    <w:tbl>
      <w:tblPr>
        <w:tblStyle w:val="8"/>
        <w:tblW w:w="8180" w:type="dxa"/>
        <w:jc w:val="center"/>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026"/>
        <w:gridCol w:w="1230"/>
        <w:gridCol w:w="1080"/>
        <w:gridCol w:w="11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709"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序号</w:t>
            </w:r>
          </w:p>
        </w:tc>
        <w:tc>
          <w:tcPr>
            <w:tcW w:w="4026" w:type="dxa"/>
            <w:tcBorders>
              <w:tl2br w:val="nil"/>
              <w:tr2bl w:val="nil"/>
            </w:tcBorders>
            <w:shd w:val="clear" w:color="auto" w:fill="FFFFFF"/>
            <w:vAlign w:val="center"/>
          </w:tcPr>
          <w:p>
            <w:pPr>
              <w:tabs>
                <w:tab w:val="center" w:pos="1654"/>
                <w:tab w:val="left" w:pos="2502"/>
              </w:tabs>
              <w:jc w:val="center"/>
              <w:rPr>
                <w:rFonts w:ascii="Times New Roman" w:hAnsi="Times New Roman" w:eastAsia="仿宋_GB2312"/>
                <w:b/>
                <w:bCs/>
              </w:rPr>
            </w:pPr>
            <w:r>
              <w:rPr>
                <w:rFonts w:hint="eastAsia" w:ascii="Times New Roman" w:hAnsi="Times New Roman" w:eastAsia="仿宋_GB2312"/>
                <w:b/>
                <w:bCs/>
              </w:rPr>
              <w:t>指 标</w:t>
            </w:r>
          </w:p>
        </w:tc>
        <w:tc>
          <w:tcPr>
            <w:tcW w:w="1230" w:type="dxa"/>
            <w:tcBorders>
              <w:tl2br w:val="nil"/>
              <w:tr2bl w:val="nil"/>
            </w:tcBorders>
            <w:shd w:val="clear" w:color="auto" w:fill="FFFFFF"/>
            <w:vAlign w:val="center"/>
          </w:tcPr>
          <w:p>
            <w:pPr>
              <w:tabs>
                <w:tab w:val="center" w:pos="1654"/>
                <w:tab w:val="left" w:pos="2502"/>
              </w:tabs>
              <w:jc w:val="center"/>
              <w:rPr>
                <w:rFonts w:ascii="Times New Roman" w:hAnsi="Times New Roman" w:eastAsia="仿宋_GB2312"/>
                <w:b/>
                <w:bCs/>
              </w:rPr>
            </w:pPr>
            <w:r>
              <w:rPr>
                <w:rFonts w:hint="eastAsia" w:ascii="Times New Roman" w:hAnsi="Times New Roman" w:eastAsia="仿宋_GB2312"/>
                <w:b/>
                <w:bCs/>
              </w:rPr>
              <w:t>2015年</w:t>
            </w:r>
          </w:p>
        </w:tc>
        <w:tc>
          <w:tcPr>
            <w:tcW w:w="1080"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2016年</w:t>
            </w:r>
          </w:p>
        </w:tc>
        <w:tc>
          <w:tcPr>
            <w:tcW w:w="1135"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2017年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09" w:type="dxa"/>
            <w:tcBorders>
              <w:tl2br w:val="nil"/>
              <w:tr2bl w:val="nil"/>
            </w:tcBorders>
            <w:shd w:val="clear" w:color="auto" w:fill="FFFFFF"/>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1</w:t>
            </w:r>
          </w:p>
        </w:tc>
        <w:tc>
          <w:tcPr>
            <w:tcW w:w="4026"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当年招生专业数量（个）</w:t>
            </w:r>
          </w:p>
        </w:tc>
        <w:tc>
          <w:tcPr>
            <w:tcW w:w="123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19</w:t>
            </w:r>
          </w:p>
        </w:tc>
        <w:tc>
          <w:tcPr>
            <w:tcW w:w="108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17</w:t>
            </w:r>
          </w:p>
        </w:tc>
        <w:tc>
          <w:tcPr>
            <w:tcW w:w="1135"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09" w:type="dxa"/>
            <w:tcBorders>
              <w:tl2br w:val="nil"/>
              <w:tr2bl w:val="nil"/>
            </w:tcBorders>
            <w:shd w:val="clear" w:color="auto" w:fill="FFFFFF"/>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2</w:t>
            </w:r>
          </w:p>
        </w:tc>
        <w:tc>
          <w:tcPr>
            <w:tcW w:w="4026"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当年开设专业数</w:t>
            </w:r>
          </w:p>
        </w:tc>
        <w:tc>
          <w:tcPr>
            <w:tcW w:w="123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24</w:t>
            </w:r>
          </w:p>
        </w:tc>
        <w:tc>
          <w:tcPr>
            <w:tcW w:w="108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25</w:t>
            </w:r>
          </w:p>
        </w:tc>
        <w:tc>
          <w:tcPr>
            <w:tcW w:w="1135"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09" w:type="dxa"/>
            <w:tcBorders>
              <w:tl2br w:val="nil"/>
              <w:tr2bl w:val="nil"/>
            </w:tcBorders>
            <w:shd w:val="clear" w:color="auto" w:fill="FFFFFF"/>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3</w:t>
            </w:r>
          </w:p>
        </w:tc>
        <w:tc>
          <w:tcPr>
            <w:tcW w:w="4026"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平均每个专业人数（人/专业）</w:t>
            </w:r>
          </w:p>
        </w:tc>
        <w:tc>
          <w:tcPr>
            <w:tcW w:w="123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130</w:t>
            </w:r>
          </w:p>
        </w:tc>
        <w:tc>
          <w:tcPr>
            <w:tcW w:w="108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137</w:t>
            </w:r>
          </w:p>
        </w:tc>
        <w:tc>
          <w:tcPr>
            <w:tcW w:w="1135"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170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709" w:type="dxa"/>
            <w:tcBorders>
              <w:tl2br w:val="nil"/>
              <w:tr2bl w:val="nil"/>
            </w:tcBorders>
            <w:shd w:val="clear" w:color="auto" w:fill="FFFFFF"/>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4</w:t>
            </w:r>
          </w:p>
        </w:tc>
        <w:tc>
          <w:tcPr>
            <w:tcW w:w="4026"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重点和特色专业学生人数占比（%）</w:t>
            </w:r>
          </w:p>
        </w:tc>
        <w:tc>
          <w:tcPr>
            <w:tcW w:w="123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60.88</w:t>
            </w:r>
          </w:p>
        </w:tc>
        <w:tc>
          <w:tcPr>
            <w:tcW w:w="108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61.44</w:t>
            </w:r>
          </w:p>
        </w:tc>
        <w:tc>
          <w:tcPr>
            <w:tcW w:w="1135"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59.22</w:t>
            </w:r>
          </w:p>
        </w:tc>
      </w:tr>
    </w:tbl>
    <w:p>
      <w:pPr>
        <w:ind w:firstLine="315" w:firstLineChars="150"/>
        <w:jc w:val="center"/>
        <w:rPr>
          <w:rFonts w:ascii="仿宋_GB2312" w:eastAsia="仿宋_GB2312"/>
          <w:sz w:val="28"/>
          <w:szCs w:val="28"/>
        </w:rPr>
      </w:pPr>
      <w:r>
        <w:rPr>
          <w:rFonts w:hint="eastAsia" w:ascii="楷体" w:hAnsi="楷体" w:eastAsia="楷体" w:cs="楷体"/>
        </w:rPr>
        <w:t>数据来源：教务处</w:t>
      </w:r>
    </w:p>
    <w:p>
      <w:pPr>
        <w:numPr>
          <w:ilvl w:val="0"/>
          <w:numId w:val="1"/>
        </w:numPr>
        <w:spacing w:line="520" w:lineRule="exact"/>
        <w:ind w:firstLine="562" w:firstLineChars="200"/>
        <w:rPr>
          <w:rFonts w:ascii="仿宋_GB2312" w:eastAsia="仿宋_GB2312"/>
          <w:b/>
          <w:bCs/>
          <w:sz w:val="28"/>
          <w:szCs w:val="28"/>
        </w:rPr>
      </w:pPr>
      <w:r>
        <w:rPr>
          <w:rFonts w:hint="eastAsia" w:ascii="仿宋_GB2312" w:eastAsia="仿宋_GB2312"/>
          <w:b/>
          <w:bCs/>
          <w:sz w:val="28"/>
          <w:szCs w:val="28"/>
        </w:rPr>
        <w:t>健全专业（群）建设方案，专业（群）建设初显成效</w:t>
      </w:r>
    </w:p>
    <w:p>
      <w:pPr>
        <w:spacing w:line="520" w:lineRule="exact"/>
        <w:ind w:firstLine="560" w:firstLineChars="200"/>
        <w:rPr>
          <w:rFonts w:ascii="仿宋_GB2312" w:eastAsia="仿宋_GB2312"/>
          <w:b/>
          <w:bCs/>
          <w:sz w:val="28"/>
          <w:szCs w:val="28"/>
        </w:rPr>
      </w:pPr>
      <w:r>
        <w:rPr>
          <w:rFonts w:hint="eastAsia" w:ascii="仿宋_GB2312" w:eastAsia="仿宋_GB2312"/>
          <w:sz w:val="28"/>
          <w:szCs w:val="28"/>
        </w:rPr>
        <w:t>继2015年调整专业后，2017年学院根据产业发展形势和服务区域经济社会发展，再次进行专业整合，构建起六大专业群（见表3-2），并以专业群为基础成立4个系和2个二级学院。制定了《邵阳职业技术学院特色专业群建设方案》，指导相关教学单位做好以重点专业为龙头、相关专业为支撑的专业群规划工作，重点建设好2-3个专业群；高标准完成先进装备制造业省级示范性特色专业群项目建设工作。2015-2017年以来，学院在专业群建设中，省财政投入400万元、地方财政投入200万元、合作企业投入1000万元，学校自筹600万元；有力保障了专业群的建设与发展。</w:t>
      </w:r>
    </w:p>
    <w:p>
      <w:pPr>
        <w:spacing w:line="580" w:lineRule="exact"/>
        <w:jc w:val="center"/>
        <w:rPr>
          <w:rFonts w:ascii="仿宋_GB2312" w:eastAsia="仿宋_GB2312"/>
          <w:sz w:val="28"/>
          <w:szCs w:val="28"/>
        </w:rPr>
      </w:pPr>
      <w:r>
        <w:rPr>
          <w:rFonts w:hint="eastAsia" w:ascii="仿宋_GB2312" w:eastAsia="仿宋_GB2312"/>
          <w:b/>
          <w:bCs/>
          <w:sz w:val="24"/>
          <w:szCs w:val="24"/>
        </w:rPr>
        <w:t>表</w:t>
      </w:r>
      <w:r>
        <w:rPr>
          <w:rFonts w:hint="eastAsia" w:ascii="Times New Roman" w:hAnsi="Times New Roman" w:eastAsia="仿宋_GB2312"/>
          <w:b/>
          <w:sz w:val="24"/>
        </w:rPr>
        <w:t>3-</w:t>
      </w:r>
      <w:r>
        <w:rPr>
          <w:rFonts w:hint="eastAsia" w:ascii="Times New Roman" w:hAnsi="Times New Roman" w:eastAsia="仿宋_GB2312"/>
          <w:b/>
          <w:sz w:val="24"/>
          <w:lang w:val="en-US" w:eastAsia="zh-CN"/>
        </w:rPr>
        <w:t>4</w:t>
      </w:r>
      <w:r>
        <w:rPr>
          <w:rFonts w:hint="eastAsia" w:ascii="仿宋_GB2312" w:eastAsia="仿宋_GB2312"/>
          <w:b/>
          <w:bCs/>
          <w:sz w:val="24"/>
          <w:szCs w:val="24"/>
        </w:rPr>
        <w:t xml:space="preserve"> </w:t>
      </w:r>
      <w:r>
        <w:rPr>
          <w:rFonts w:hint="eastAsia" w:ascii="仿宋_GB2312" w:eastAsia="仿宋_GB2312"/>
          <w:sz w:val="28"/>
          <w:szCs w:val="28"/>
        </w:rPr>
        <w:t xml:space="preserve">  </w:t>
      </w:r>
      <w:r>
        <w:rPr>
          <w:rFonts w:hint="eastAsia" w:ascii="仿宋" w:hAnsi="仿宋" w:eastAsia="仿宋"/>
          <w:b/>
          <w:bCs/>
          <w:color w:val="000000" w:themeColor="text1"/>
          <w:sz w:val="24"/>
          <w:szCs w:val="24"/>
          <w14:textFill>
            <w14:solidFill>
              <w14:schemeClr w14:val="tx1"/>
            </w14:solidFill>
          </w14:textFill>
        </w:rPr>
        <w:t>2017年专业群设置情况一览表</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080"/>
        <w:gridCol w:w="1335"/>
        <w:gridCol w:w="2490"/>
        <w:gridCol w:w="2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736" w:type="dxa"/>
            <w:tcBorders>
              <w:top w:val="single" w:color="auto" w:sz="12" w:space="0"/>
              <w:left w:val="single" w:color="auto" w:sz="12" w:space="0"/>
            </w:tcBorders>
            <w:shd w:val="clear" w:color="auto" w:fill="FFFFFF" w:themeFill="background1"/>
            <w:vAlign w:val="center"/>
          </w:tcPr>
          <w:p>
            <w:pPr>
              <w:jc w:val="center"/>
              <w:rPr>
                <w:rFonts w:ascii="仿宋_GB2312" w:hAnsi="仿宋_GB2312" w:eastAsia="仿宋_GB2312" w:cs="仿宋_GB2312"/>
                <w:b/>
                <w:bCs/>
              </w:rPr>
            </w:pPr>
            <w:r>
              <w:rPr>
                <w:rFonts w:hint="eastAsia" w:ascii="仿宋_GB2312" w:hAnsi="仿宋_GB2312" w:eastAsia="仿宋_GB2312" w:cs="仿宋_GB2312"/>
                <w:b/>
                <w:bCs/>
              </w:rPr>
              <w:t>序号</w:t>
            </w:r>
          </w:p>
        </w:tc>
        <w:tc>
          <w:tcPr>
            <w:tcW w:w="1080" w:type="dxa"/>
            <w:tcBorders>
              <w:top w:val="single" w:color="auto" w:sz="12" w:space="0"/>
            </w:tcBorders>
            <w:shd w:val="clear" w:color="auto" w:fill="FFFFFF" w:themeFill="background1"/>
            <w:vAlign w:val="center"/>
          </w:tcPr>
          <w:p>
            <w:pPr>
              <w:jc w:val="center"/>
              <w:rPr>
                <w:rFonts w:ascii="仿宋_GB2312" w:hAnsi="仿宋_GB2312" w:eastAsia="仿宋_GB2312" w:cs="仿宋_GB2312"/>
                <w:b/>
                <w:bCs/>
              </w:rPr>
            </w:pPr>
            <w:r>
              <w:rPr>
                <w:rFonts w:hint="eastAsia" w:ascii="仿宋_GB2312" w:hAnsi="仿宋_GB2312" w:eastAsia="仿宋_GB2312" w:cs="仿宋_GB2312"/>
                <w:b/>
                <w:bCs/>
              </w:rPr>
              <w:t>专业群</w:t>
            </w:r>
          </w:p>
        </w:tc>
        <w:tc>
          <w:tcPr>
            <w:tcW w:w="1335" w:type="dxa"/>
            <w:tcBorders>
              <w:top w:val="single" w:color="auto" w:sz="12" w:space="0"/>
            </w:tcBorders>
            <w:shd w:val="clear" w:color="auto" w:fill="FFFFFF" w:themeFill="background1"/>
            <w:vAlign w:val="center"/>
          </w:tcPr>
          <w:p>
            <w:pPr>
              <w:jc w:val="center"/>
              <w:rPr>
                <w:rFonts w:ascii="仿宋_GB2312" w:hAnsi="仿宋_GB2312" w:eastAsia="仿宋_GB2312" w:cs="仿宋_GB2312"/>
                <w:b/>
                <w:bCs/>
              </w:rPr>
            </w:pPr>
            <w:r>
              <w:rPr>
                <w:rFonts w:hint="eastAsia" w:ascii="仿宋_GB2312" w:hAnsi="仿宋_GB2312" w:eastAsia="仿宋_GB2312" w:cs="仿宋_GB2312"/>
                <w:b/>
                <w:bCs/>
              </w:rPr>
              <w:t>专业</w:t>
            </w:r>
          </w:p>
          <w:p>
            <w:pPr>
              <w:jc w:val="center"/>
              <w:rPr>
                <w:rFonts w:ascii="仿宋_GB2312" w:hAnsi="仿宋_GB2312" w:eastAsia="仿宋_GB2312" w:cs="仿宋_GB2312"/>
                <w:b/>
                <w:bCs/>
              </w:rPr>
            </w:pPr>
            <w:r>
              <w:rPr>
                <w:rFonts w:hint="eastAsia" w:ascii="仿宋_GB2312" w:hAnsi="仿宋_GB2312" w:eastAsia="仿宋_GB2312" w:cs="仿宋_GB2312"/>
                <w:b/>
                <w:bCs/>
              </w:rPr>
              <w:t>代码</w:t>
            </w:r>
          </w:p>
        </w:tc>
        <w:tc>
          <w:tcPr>
            <w:tcW w:w="2490" w:type="dxa"/>
            <w:tcBorders>
              <w:top w:val="single" w:color="auto" w:sz="12" w:space="0"/>
            </w:tcBorders>
            <w:shd w:val="clear" w:color="auto" w:fill="FFFFFF" w:themeFill="background1"/>
            <w:vAlign w:val="center"/>
          </w:tcPr>
          <w:p>
            <w:pPr>
              <w:jc w:val="center"/>
              <w:rPr>
                <w:rFonts w:ascii="仿宋_GB2312" w:hAnsi="仿宋_GB2312" w:eastAsia="仿宋_GB2312" w:cs="仿宋_GB2312"/>
                <w:b/>
                <w:bCs/>
              </w:rPr>
            </w:pPr>
            <w:r>
              <w:rPr>
                <w:rFonts w:hint="eastAsia" w:ascii="仿宋_GB2312" w:hAnsi="仿宋_GB2312" w:eastAsia="仿宋_GB2312" w:cs="仿宋_GB2312"/>
                <w:b/>
                <w:bCs/>
              </w:rPr>
              <w:t>专业名称</w:t>
            </w:r>
          </w:p>
        </w:tc>
        <w:tc>
          <w:tcPr>
            <w:tcW w:w="2881" w:type="dxa"/>
            <w:tcBorders>
              <w:top w:val="single" w:color="auto" w:sz="12" w:space="0"/>
              <w:right w:val="single" w:color="auto" w:sz="12" w:space="0"/>
            </w:tcBorders>
            <w:shd w:val="clear" w:color="auto" w:fill="FFFFFF" w:themeFill="background1"/>
            <w:vAlign w:val="center"/>
          </w:tcPr>
          <w:p>
            <w:pPr>
              <w:jc w:val="center"/>
              <w:rPr>
                <w:rFonts w:ascii="仿宋_GB2312" w:hAnsi="仿宋_GB2312" w:eastAsia="仿宋_GB2312" w:cs="仿宋_GB2312"/>
                <w:b/>
                <w:bCs/>
              </w:rPr>
            </w:pPr>
            <w:r>
              <w:rPr>
                <w:rFonts w:hint="eastAsia" w:ascii="仿宋_GB2312" w:hAnsi="仿宋_GB2312" w:eastAsia="仿宋_GB2312" w:cs="仿宋_GB2312"/>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36" w:type="dxa"/>
            <w:tcBorders>
              <w:left w:val="single" w:color="auto" w:sz="12" w:space="0"/>
            </w:tcBorders>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1</w:t>
            </w:r>
          </w:p>
        </w:tc>
        <w:tc>
          <w:tcPr>
            <w:tcW w:w="1080" w:type="dxa"/>
            <w:vMerge w:val="restart"/>
            <w:vAlign w:val="center"/>
          </w:tcPr>
          <w:p>
            <w:pPr>
              <w:jc w:val="center"/>
              <w:rPr>
                <w:rFonts w:ascii="仿宋_GB2312" w:hAnsi="仿宋_GB2312" w:eastAsia="仿宋_GB2312" w:cs="仿宋_GB2312"/>
              </w:rPr>
            </w:pPr>
            <w:r>
              <w:rPr>
                <w:rFonts w:hint="eastAsia" w:ascii="仿宋_GB2312" w:hAnsi="仿宋_GB2312" w:eastAsia="仿宋_GB2312" w:cs="仿宋_GB2312"/>
              </w:rPr>
              <w:t>信息技术</w:t>
            </w:r>
          </w:p>
          <w:p>
            <w:pPr>
              <w:jc w:val="center"/>
              <w:rPr>
                <w:rFonts w:ascii="仿宋_GB2312" w:hAnsi="仿宋_GB2312" w:eastAsia="仿宋_GB2312" w:cs="仿宋_GB2312"/>
              </w:rPr>
            </w:pPr>
            <w:r>
              <w:rPr>
                <w:rFonts w:hint="eastAsia" w:ascii="仿宋_GB2312" w:hAnsi="仿宋_GB2312" w:eastAsia="仿宋_GB2312" w:cs="仿宋_GB2312"/>
              </w:rPr>
              <w:t>与创意</w:t>
            </w:r>
          </w:p>
        </w:tc>
        <w:tc>
          <w:tcPr>
            <w:tcW w:w="1335" w:type="dxa"/>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610115</w:t>
            </w:r>
          </w:p>
        </w:tc>
        <w:tc>
          <w:tcPr>
            <w:tcW w:w="2490" w:type="dxa"/>
            <w:shd w:val="clear" w:color="auto" w:fill="FFFFFF" w:themeFill="background1"/>
            <w:vAlign w:val="center"/>
          </w:tcPr>
          <w:p>
            <w:pPr>
              <w:jc w:val="center"/>
              <w:rPr>
                <w:rFonts w:ascii="仿宋_GB2312" w:hAnsi="仿宋_GB2312" w:eastAsia="仿宋_GB2312" w:cs="仿宋_GB2312"/>
              </w:rPr>
            </w:pPr>
            <w:r>
              <w:rPr>
                <w:rFonts w:hint="eastAsia" w:ascii="仿宋_GB2312" w:hAnsi="仿宋_GB2312" w:eastAsia="仿宋_GB2312" w:cs="仿宋_GB2312"/>
              </w:rPr>
              <w:t>移动互联应用技术</w:t>
            </w:r>
          </w:p>
        </w:tc>
        <w:tc>
          <w:tcPr>
            <w:tcW w:w="2881" w:type="dxa"/>
            <w:tcBorders>
              <w:right w:val="single" w:color="auto" w:sz="12" w:space="0"/>
            </w:tcBorders>
            <w:shd w:val="clear" w:color="auto" w:fill="FFFFFF" w:themeFill="background1"/>
          </w:tcPr>
          <w:p>
            <w:pPr>
              <w:jc w:val="center"/>
              <w:rPr>
                <w:rFonts w:ascii="仿宋_GB2312" w:hAnsi="仿宋_GB2312" w:eastAsia="仿宋_GB2312" w:cs="仿宋_GB2312"/>
              </w:rPr>
            </w:pPr>
            <w:r>
              <w:rPr>
                <w:rFonts w:hint="eastAsia" w:ascii="Times New Roman" w:hAnsi="Times New Roman" w:eastAsia="仿宋_GB2312"/>
                <w:sz w:val="24"/>
                <w:szCs w:val="24"/>
              </w:rPr>
              <w:t>2015</w:t>
            </w:r>
            <w:r>
              <w:rPr>
                <w:rFonts w:hint="eastAsia" w:ascii="仿宋_GB2312" w:hAnsi="仿宋_GB2312" w:eastAsia="仿宋_GB2312" w:cs="仿宋_GB2312"/>
              </w:rPr>
              <w:t>年新增、校企合作专业</w:t>
            </w:r>
            <w:r>
              <w:rPr>
                <w:rFonts w:hint="eastAsia" w:ascii="仿宋_GB2312" w:hAnsi="仿宋_GB2312" w:eastAsia="仿宋_GB2312" w:cs="仿宋_GB2312"/>
                <w:lang w:eastAsia="zh-CN"/>
              </w:rPr>
              <w:t>，省经信委重点支持建设专业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36" w:type="dxa"/>
            <w:tcBorders>
              <w:left w:val="single" w:color="auto" w:sz="12" w:space="0"/>
            </w:tcBorders>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2</w:t>
            </w:r>
          </w:p>
        </w:tc>
        <w:tc>
          <w:tcPr>
            <w:tcW w:w="1080" w:type="dxa"/>
            <w:vMerge w:val="continue"/>
            <w:vAlign w:val="center"/>
          </w:tcPr>
          <w:p>
            <w:pPr>
              <w:jc w:val="center"/>
              <w:rPr>
                <w:rFonts w:ascii="仿宋_GB2312" w:hAnsi="仿宋_GB2312" w:eastAsia="仿宋_GB2312" w:cs="仿宋_GB2312"/>
              </w:rPr>
            </w:pPr>
          </w:p>
        </w:tc>
        <w:tc>
          <w:tcPr>
            <w:tcW w:w="1335" w:type="dxa"/>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610201</w:t>
            </w:r>
          </w:p>
        </w:tc>
        <w:tc>
          <w:tcPr>
            <w:tcW w:w="2490" w:type="dxa"/>
            <w:shd w:val="clear" w:color="auto" w:fill="FFFFFF" w:themeFill="background1"/>
            <w:vAlign w:val="center"/>
          </w:tcPr>
          <w:p>
            <w:pPr>
              <w:jc w:val="center"/>
              <w:rPr>
                <w:rFonts w:ascii="仿宋_GB2312" w:hAnsi="仿宋_GB2312" w:eastAsia="仿宋_GB2312" w:cs="仿宋_GB2312"/>
              </w:rPr>
            </w:pPr>
            <w:r>
              <w:rPr>
                <w:rFonts w:hint="eastAsia" w:ascii="仿宋_GB2312" w:hAnsi="仿宋_GB2312" w:eastAsia="仿宋_GB2312" w:cs="仿宋_GB2312"/>
              </w:rPr>
              <w:t>计算机应用技术</w:t>
            </w:r>
          </w:p>
        </w:tc>
        <w:tc>
          <w:tcPr>
            <w:tcW w:w="2881" w:type="dxa"/>
            <w:tcBorders>
              <w:right w:val="single" w:color="auto" w:sz="12" w:space="0"/>
            </w:tcBorders>
            <w:shd w:val="clear" w:color="auto" w:fill="FFFFFF" w:themeFill="background1"/>
          </w:tcPr>
          <w:p>
            <w:pPr>
              <w:jc w:val="center"/>
              <w:rPr>
                <w:rFonts w:ascii="仿宋_GB2312" w:hAnsi="仿宋_GB2312" w:eastAsia="仿宋_GB2312" w:cs="仿宋_GB2312"/>
              </w:rPr>
            </w:pPr>
            <w:r>
              <w:rPr>
                <w:rFonts w:hint="eastAsia" w:ascii="仿宋_GB2312" w:hAnsi="仿宋_GB2312" w:eastAsia="仿宋_GB2312" w:cs="仿宋_GB2312"/>
              </w:rPr>
              <w:t>重点发展专业、校企合作专业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36" w:type="dxa"/>
            <w:tcBorders>
              <w:left w:val="single" w:color="auto" w:sz="12" w:space="0"/>
            </w:tcBorders>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3</w:t>
            </w:r>
          </w:p>
        </w:tc>
        <w:tc>
          <w:tcPr>
            <w:tcW w:w="1080" w:type="dxa"/>
            <w:vMerge w:val="continue"/>
            <w:vAlign w:val="center"/>
          </w:tcPr>
          <w:p>
            <w:pPr>
              <w:jc w:val="center"/>
              <w:rPr>
                <w:rFonts w:ascii="仿宋_GB2312" w:hAnsi="仿宋_GB2312" w:eastAsia="仿宋_GB2312" w:cs="仿宋_GB2312"/>
              </w:rPr>
            </w:pPr>
          </w:p>
        </w:tc>
        <w:tc>
          <w:tcPr>
            <w:tcW w:w="1335" w:type="dxa"/>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630801</w:t>
            </w:r>
          </w:p>
        </w:tc>
        <w:tc>
          <w:tcPr>
            <w:tcW w:w="2490" w:type="dxa"/>
            <w:shd w:val="clear" w:color="auto" w:fill="FFFFFF" w:themeFill="background1"/>
            <w:vAlign w:val="center"/>
          </w:tcPr>
          <w:p>
            <w:pPr>
              <w:jc w:val="center"/>
              <w:rPr>
                <w:rFonts w:ascii="仿宋_GB2312" w:hAnsi="仿宋_GB2312" w:eastAsia="仿宋_GB2312" w:cs="仿宋_GB2312"/>
              </w:rPr>
            </w:pPr>
            <w:r>
              <w:rPr>
                <w:rFonts w:hint="eastAsia" w:ascii="仿宋_GB2312" w:hAnsi="仿宋_GB2312" w:eastAsia="仿宋_GB2312" w:cs="仿宋_GB2312"/>
              </w:rPr>
              <w:t>电子商务</w:t>
            </w:r>
          </w:p>
        </w:tc>
        <w:tc>
          <w:tcPr>
            <w:tcW w:w="2881" w:type="dxa"/>
            <w:tcBorders>
              <w:right w:val="single" w:color="auto" w:sz="12" w:space="0"/>
            </w:tcBorders>
            <w:shd w:val="clear" w:color="auto" w:fill="FFFFFF" w:themeFill="background1"/>
          </w:tcPr>
          <w:p>
            <w:pPr>
              <w:jc w:val="center"/>
              <w:rPr>
                <w:rFonts w:ascii="仿宋_GB2312" w:hAnsi="仿宋_GB2312" w:eastAsia="仿宋_GB2312" w:cs="仿宋_GB2312"/>
              </w:rPr>
            </w:pPr>
            <w:r>
              <w:rPr>
                <w:rFonts w:hint="eastAsia" w:ascii="仿宋_GB2312" w:hAnsi="仿宋_GB2312" w:eastAsia="仿宋_GB2312" w:cs="仿宋_GB2312"/>
              </w:rPr>
              <w:t>重点发展专业、校企合作专业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36" w:type="dxa"/>
            <w:tcBorders>
              <w:left w:val="single" w:color="auto" w:sz="12" w:space="0"/>
            </w:tcBorders>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4</w:t>
            </w:r>
          </w:p>
        </w:tc>
        <w:tc>
          <w:tcPr>
            <w:tcW w:w="1080" w:type="dxa"/>
            <w:vMerge w:val="continue"/>
            <w:vAlign w:val="center"/>
          </w:tcPr>
          <w:p>
            <w:pPr>
              <w:jc w:val="center"/>
              <w:rPr>
                <w:rFonts w:ascii="仿宋_GB2312" w:hAnsi="仿宋_GB2312" w:eastAsia="仿宋_GB2312" w:cs="仿宋_GB2312"/>
              </w:rPr>
            </w:pPr>
          </w:p>
        </w:tc>
        <w:tc>
          <w:tcPr>
            <w:tcW w:w="1335" w:type="dxa"/>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650103</w:t>
            </w:r>
          </w:p>
        </w:tc>
        <w:tc>
          <w:tcPr>
            <w:tcW w:w="2490" w:type="dxa"/>
            <w:shd w:val="clear" w:color="auto" w:fill="FFFFFF" w:themeFill="background1"/>
            <w:vAlign w:val="center"/>
          </w:tcPr>
          <w:p>
            <w:pPr>
              <w:jc w:val="center"/>
              <w:rPr>
                <w:rFonts w:ascii="仿宋_GB2312" w:hAnsi="仿宋_GB2312" w:eastAsia="仿宋_GB2312" w:cs="仿宋_GB2312"/>
              </w:rPr>
            </w:pPr>
            <w:r>
              <w:rPr>
                <w:rFonts w:hint="eastAsia" w:ascii="仿宋_GB2312" w:hAnsi="仿宋_GB2312" w:eastAsia="仿宋_GB2312" w:cs="仿宋_GB2312"/>
              </w:rPr>
              <w:t>广告设计与制作</w:t>
            </w:r>
          </w:p>
        </w:tc>
        <w:tc>
          <w:tcPr>
            <w:tcW w:w="2881" w:type="dxa"/>
            <w:tcBorders>
              <w:right w:val="single" w:color="auto" w:sz="12" w:space="0"/>
            </w:tcBorders>
            <w:shd w:val="clear" w:color="auto" w:fill="FFFFFF" w:themeFill="background1"/>
          </w:tcPr>
          <w:p>
            <w:pPr>
              <w:jc w:val="center"/>
              <w:rPr>
                <w:rFonts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36" w:type="dxa"/>
            <w:tcBorders>
              <w:left w:val="single" w:color="auto" w:sz="12" w:space="0"/>
            </w:tcBorders>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5</w:t>
            </w:r>
          </w:p>
        </w:tc>
        <w:tc>
          <w:tcPr>
            <w:tcW w:w="1080" w:type="dxa"/>
            <w:vMerge w:val="continue"/>
            <w:vAlign w:val="center"/>
          </w:tcPr>
          <w:p>
            <w:pPr>
              <w:jc w:val="center"/>
              <w:rPr>
                <w:rFonts w:ascii="仿宋_GB2312" w:hAnsi="仿宋_GB2312" w:eastAsia="仿宋_GB2312" w:cs="仿宋_GB2312"/>
              </w:rPr>
            </w:pPr>
          </w:p>
        </w:tc>
        <w:tc>
          <w:tcPr>
            <w:tcW w:w="1335" w:type="dxa"/>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650108</w:t>
            </w:r>
          </w:p>
        </w:tc>
        <w:tc>
          <w:tcPr>
            <w:tcW w:w="2490" w:type="dxa"/>
            <w:shd w:val="clear" w:color="auto" w:fill="FFFFFF" w:themeFill="background1"/>
            <w:vAlign w:val="center"/>
          </w:tcPr>
          <w:p>
            <w:pPr>
              <w:jc w:val="center"/>
              <w:rPr>
                <w:rFonts w:ascii="仿宋_GB2312" w:hAnsi="仿宋_GB2312" w:eastAsia="仿宋_GB2312" w:cs="仿宋_GB2312"/>
              </w:rPr>
            </w:pPr>
            <w:r>
              <w:rPr>
                <w:rFonts w:hint="eastAsia" w:ascii="仿宋_GB2312" w:hAnsi="仿宋_GB2312" w:eastAsia="仿宋_GB2312" w:cs="仿宋_GB2312"/>
              </w:rPr>
              <w:t>服装与服饰设计</w:t>
            </w:r>
          </w:p>
        </w:tc>
        <w:tc>
          <w:tcPr>
            <w:tcW w:w="2881" w:type="dxa"/>
            <w:tcBorders>
              <w:right w:val="single" w:color="auto" w:sz="12" w:space="0"/>
            </w:tcBorders>
            <w:shd w:val="clear" w:color="auto" w:fill="FFFFFF" w:themeFill="background1"/>
          </w:tcPr>
          <w:p>
            <w:pPr>
              <w:jc w:val="center"/>
              <w:rPr>
                <w:rFonts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36" w:type="dxa"/>
            <w:tcBorders>
              <w:left w:val="single" w:color="auto" w:sz="12" w:space="0"/>
            </w:tcBorders>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6</w:t>
            </w:r>
          </w:p>
        </w:tc>
        <w:tc>
          <w:tcPr>
            <w:tcW w:w="1080" w:type="dxa"/>
            <w:vMerge w:val="restart"/>
            <w:vAlign w:val="center"/>
          </w:tcPr>
          <w:p>
            <w:pPr>
              <w:jc w:val="center"/>
              <w:rPr>
                <w:rFonts w:ascii="仿宋_GB2312" w:hAnsi="仿宋_GB2312" w:eastAsia="仿宋_GB2312" w:cs="仿宋_GB2312"/>
              </w:rPr>
            </w:pPr>
            <w:r>
              <w:rPr>
                <w:rFonts w:hint="eastAsia" w:ascii="仿宋_GB2312" w:hAnsi="仿宋_GB2312" w:eastAsia="仿宋_GB2312" w:cs="仿宋_GB2312"/>
              </w:rPr>
              <w:t>电梯工程</w:t>
            </w:r>
          </w:p>
        </w:tc>
        <w:tc>
          <w:tcPr>
            <w:tcW w:w="1335" w:type="dxa"/>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560301</w:t>
            </w:r>
          </w:p>
        </w:tc>
        <w:tc>
          <w:tcPr>
            <w:tcW w:w="2490" w:type="dxa"/>
            <w:shd w:val="clear" w:color="auto" w:fill="FFFFFF" w:themeFill="background1"/>
            <w:vAlign w:val="center"/>
          </w:tcPr>
          <w:p>
            <w:pPr>
              <w:jc w:val="center"/>
              <w:rPr>
                <w:rFonts w:ascii="仿宋_GB2312" w:hAnsi="仿宋_GB2312" w:eastAsia="仿宋_GB2312" w:cs="仿宋_GB2312"/>
              </w:rPr>
            </w:pPr>
            <w:r>
              <w:rPr>
                <w:rFonts w:hint="eastAsia" w:ascii="仿宋_GB2312" w:hAnsi="仿宋_GB2312" w:eastAsia="仿宋_GB2312" w:cs="仿宋_GB2312"/>
              </w:rPr>
              <w:t>机电一体化技术</w:t>
            </w:r>
          </w:p>
        </w:tc>
        <w:tc>
          <w:tcPr>
            <w:tcW w:w="2881" w:type="dxa"/>
            <w:tcBorders>
              <w:right w:val="single" w:color="auto" w:sz="12" w:space="0"/>
            </w:tcBorders>
            <w:shd w:val="clear" w:color="auto" w:fill="FFFFFF" w:themeFill="background1"/>
          </w:tcPr>
          <w:p>
            <w:pPr>
              <w:jc w:val="center"/>
              <w:rPr>
                <w:rFonts w:ascii="仿宋_GB2312" w:hAnsi="仿宋_GB2312" w:eastAsia="仿宋_GB2312" w:cs="仿宋_GB2312"/>
              </w:rPr>
            </w:pPr>
            <w:r>
              <w:rPr>
                <w:rFonts w:hint="eastAsia" w:ascii="仿宋_GB2312" w:hAnsi="仿宋_GB2312" w:eastAsia="仿宋_GB2312" w:cs="仿宋_GB2312"/>
              </w:rPr>
              <w:t>省特色专业、省示范性特色专业群核心专业、校企合作专业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36" w:type="dxa"/>
            <w:tcBorders>
              <w:left w:val="single" w:color="auto" w:sz="12" w:space="0"/>
            </w:tcBorders>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7</w:t>
            </w:r>
          </w:p>
        </w:tc>
        <w:tc>
          <w:tcPr>
            <w:tcW w:w="1080" w:type="dxa"/>
            <w:vMerge w:val="continue"/>
            <w:vAlign w:val="center"/>
          </w:tcPr>
          <w:p>
            <w:pPr>
              <w:jc w:val="center"/>
              <w:rPr>
                <w:rFonts w:ascii="仿宋_GB2312" w:hAnsi="仿宋_GB2312" w:eastAsia="仿宋_GB2312" w:cs="仿宋_GB2312"/>
              </w:rPr>
            </w:pPr>
          </w:p>
        </w:tc>
        <w:tc>
          <w:tcPr>
            <w:tcW w:w="1335" w:type="dxa"/>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560308</w:t>
            </w:r>
          </w:p>
        </w:tc>
        <w:tc>
          <w:tcPr>
            <w:tcW w:w="2490" w:type="dxa"/>
            <w:shd w:val="clear" w:color="auto" w:fill="FFFFFF" w:themeFill="background1"/>
            <w:vAlign w:val="center"/>
          </w:tcPr>
          <w:p>
            <w:pPr>
              <w:jc w:val="center"/>
              <w:rPr>
                <w:rFonts w:ascii="仿宋_GB2312" w:hAnsi="仿宋_GB2312" w:eastAsia="仿宋_GB2312" w:cs="仿宋_GB2312"/>
              </w:rPr>
            </w:pPr>
            <w:r>
              <w:rPr>
                <w:rFonts w:hint="eastAsia" w:ascii="仿宋_GB2312" w:hAnsi="仿宋_GB2312" w:eastAsia="仿宋_GB2312" w:cs="仿宋_GB2312"/>
              </w:rPr>
              <w:t>电梯工程技术</w:t>
            </w:r>
          </w:p>
        </w:tc>
        <w:tc>
          <w:tcPr>
            <w:tcW w:w="2881" w:type="dxa"/>
            <w:tcBorders>
              <w:right w:val="single" w:color="auto" w:sz="12" w:space="0"/>
            </w:tcBorders>
            <w:shd w:val="clear" w:color="auto" w:fill="FFFFFF" w:themeFill="background1"/>
          </w:tcPr>
          <w:p>
            <w:pPr>
              <w:jc w:val="center"/>
              <w:rPr>
                <w:rFonts w:ascii="仿宋_GB2312" w:hAnsi="仿宋_GB2312" w:eastAsia="仿宋_GB2312" w:cs="仿宋_GB2312"/>
              </w:rPr>
            </w:pPr>
            <w:r>
              <w:rPr>
                <w:rFonts w:hint="eastAsia" w:ascii="仿宋_GB2312" w:hAnsi="仿宋_GB2312" w:eastAsia="仿宋_GB2312" w:cs="仿宋_GB2312"/>
              </w:rPr>
              <w:t>省示范性特色专业群重点专业、校企合作专业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36" w:type="dxa"/>
            <w:tcBorders>
              <w:left w:val="single" w:color="auto" w:sz="12" w:space="0"/>
            </w:tcBorders>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8</w:t>
            </w:r>
          </w:p>
        </w:tc>
        <w:tc>
          <w:tcPr>
            <w:tcW w:w="1080" w:type="dxa"/>
            <w:vMerge w:val="restart"/>
            <w:vAlign w:val="center"/>
          </w:tcPr>
          <w:p>
            <w:pPr>
              <w:jc w:val="center"/>
              <w:rPr>
                <w:rFonts w:ascii="仿宋_GB2312" w:hAnsi="仿宋_GB2312" w:eastAsia="仿宋_GB2312" w:cs="仿宋_GB2312"/>
              </w:rPr>
            </w:pPr>
            <w:r>
              <w:rPr>
                <w:rFonts w:hint="eastAsia" w:ascii="仿宋_GB2312" w:hAnsi="仿宋_GB2312" w:eastAsia="仿宋_GB2312" w:cs="仿宋_GB2312"/>
              </w:rPr>
              <w:t>财会工商</w:t>
            </w:r>
          </w:p>
        </w:tc>
        <w:tc>
          <w:tcPr>
            <w:tcW w:w="1335" w:type="dxa"/>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630201</w:t>
            </w:r>
          </w:p>
        </w:tc>
        <w:tc>
          <w:tcPr>
            <w:tcW w:w="2490" w:type="dxa"/>
            <w:shd w:val="clear" w:color="auto" w:fill="FFFFFF" w:themeFill="background1"/>
            <w:vAlign w:val="center"/>
          </w:tcPr>
          <w:p>
            <w:pPr>
              <w:jc w:val="center"/>
              <w:rPr>
                <w:rFonts w:ascii="仿宋_GB2312" w:hAnsi="仿宋_GB2312" w:eastAsia="仿宋_GB2312" w:cs="仿宋_GB2312"/>
              </w:rPr>
            </w:pPr>
            <w:r>
              <w:rPr>
                <w:rFonts w:hint="eastAsia" w:ascii="仿宋_GB2312" w:hAnsi="仿宋_GB2312" w:eastAsia="仿宋_GB2312" w:cs="仿宋_GB2312"/>
              </w:rPr>
              <w:t>金融管理</w:t>
            </w:r>
          </w:p>
        </w:tc>
        <w:tc>
          <w:tcPr>
            <w:tcW w:w="2881" w:type="dxa"/>
            <w:tcBorders>
              <w:right w:val="single" w:color="auto" w:sz="12" w:space="0"/>
            </w:tcBorders>
            <w:shd w:val="clear" w:color="auto" w:fill="FFFFFF" w:themeFill="background1"/>
          </w:tcPr>
          <w:p>
            <w:pPr>
              <w:jc w:val="center"/>
              <w:rPr>
                <w:rFonts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36" w:type="dxa"/>
            <w:tcBorders>
              <w:left w:val="single" w:color="auto" w:sz="12" w:space="0"/>
            </w:tcBorders>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9</w:t>
            </w:r>
          </w:p>
        </w:tc>
        <w:tc>
          <w:tcPr>
            <w:tcW w:w="1080" w:type="dxa"/>
            <w:vMerge w:val="continue"/>
            <w:vAlign w:val="center"/>
          </w:tcPr>
          <w:p>
            <w:pPr>
              <w:jc w:val="center"/>
              <w:rPr>
                <w:rFonts w:ascii="仿宋_GB2312" w:hAnsi="仿宋_GB2312" w:eastAsia="仿宋_GB2312" w:cs="仿宋_GB2312"/>
              </w:rPr>
            </w:pPr>
          </w:p>
        </w:tc>
        <w:tc>
          <w:tcPr>
            <w:tcW w:w="1335" w:type="dxa"/>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630302</w:t>
            </w:r>
          </w:p>
        </w:tc>
        <w:tc>
          <w:tcPr>
            <w:tcW w:w="2490" w:type="dxa"/>
            <w:shd w:val="clear" w:color="auto" w:fill="FFFFFF" w:themeFill="background1"/>
            <w:vAlign w:val="center"/>
          </w:tcPr>
          <w:p>
            <w:pPr>
              <w:jc w:val="center"/>
              <w:rPr>
                <w:rFonts w:ascii="仿宋_GB2312" w:hAnsi="仿宋_GB2312" w:eastAsia="仿宋_GB2312" w:cs="仿宋_GB2312"/>
              </w:rPr>
            </w:pPr>
            <w:r>
              <w:rPr>
                <w:rFonts w:hint="eastAsia" w:ascii="仿宋_GB2312" w:hAnsi="仿宋_GB2312" w:eastAsia="仿宋_GB2312" w:cs="仿宋_GB2312"/>
              </w:rPr>
              <w:t>会  计</w:t>
            </w:r>
          </w:p>
        </w:tc>
        <w:tc>
          <w:tcPr>
            <w:tcW w:w="2881" w:type="dxa"/>
            <w:tcBorders>
              <w:right w:val="single" w:color="auto" w:sz="12" w:space="0"/>
            </w:tcBorders>
            <w:shd w:val="clear" w:color="auto" w:fill="FFFFFF" w:themeFill="background1"/>
          </w:tcPr>
          <w:p>
            <w:pPr>
              <w:jc w:val="center"/>
              <w:rPr>
                <w:rFonts w:ascii="仿宋_GB2312" w:hAnsi="仿宋_GB2312" w:eastAsia="仿宋_GB2312" w:cs="仿宋_GB2312"/>
              </w:rPr>
            </w:pPr>
            <w:r>
              <w:rPr>
                <w:rFonts w:hint="eastAsia" w:ascii="仿宋_GB2312" w:hAnsi="仿宋_GB2312" w:eastAsia="仿宋_GB2312" w:cs="仿宋_GB2312"/>
              </w:rPr>
              <w:t>省教改试点专业、院特色专业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36" w:type="dxa"/>
            <w:tcBorders>
              <w:left w:val="single" w:color="auto" w:sz="12" w:space="0"/>
            </w:tcBorders>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10</w:t>
            </w:r>
          </w:p>
        </w:tc>
        <w:tc>
          <w:tcPr>
            <w:tcW w:w="1080" w:type="dxa"/>
            <w:vMerge w:val="continue"/>
            <w:vAlign w:val="center"/>
          </w:tcPr>
          <w:p>
            <w:pPr>
              <w:jc w:val="center"/>
              <w:rPr>
                <w:rFonts w:ascii="仿宋_GB2312" w:hAnsi="仿宋_GB2312" w:eastAsia="仿宋_GB2312" w:cs="仿宋_GB2312"/>
              </w:rPr>
            </w:pPr>
          </w:p>
        </w:tc>
        <w:tc>
          <w:tcPr>
            <w:tcW w:w="1335" w:type="dxa"/>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640101</w:t>
            </w:r>
          </w:p>
        </w:tc>
        <w:tc>
          <w:tcPr>
            <w:tcW w:w="2490" w:type="dxa"/>
            <w:shd w:val="clear" w:color="auto" w:fill="FFFFFF" w:themeFill="background1"/>
            <w:vAlign w:val="center"/>
          </w:tcPr>
          <w:p>
            <w:pPr>
              <w:jc w:val="center"/>
              <w:rPr>
                <w:rFonts w:ascii="仿宋_GB2312" w:hAnsi="仿宋_GB2312" w:eastAsia="仿宋_GB2312" w:cs="仿宋_GB2312"/>
              </w:rPr>
            </w:pPr>
            <w:r>
              <w:rPr>
                <w:rFonts w:hint="eastAsia" w:ascii="仿宋_GB2312" w:hAnsi="仿宋_GB2312" w:eastAsia="仿宋_GB2312" w:cs="仿宋_GB2312"/>
              </w:rPr>
              <w:t>旅游管理</w:t>
            </w:r>
          </w:p>
        </w:tc>
        <w:tc>
          <w:tcPr>
            <w:tcW w:w="2881" w:type="dxa"/>
            <w:tcBorders>
              <w:right w:val="single" w:color="auto" w:sz="12" w:space="0"/>
            </w:tcBorders>
            <w:shd w:val="clear" w:color="auto" w:fill="FFFFFF" w:themeFill="background1"/>
          </w:tcPr>
          <w:p>
            <w:pPr>
              <w:jc w:val="center"/>
              <w:rPr>
                <w:rFonts w:ascii="仿宋_GB2312" w:hAnsi="仿宋_GB2312" w:eastAsia="仿宋_GB2312" w:cs="仿宋_GB2312"/>
              </w:rPr>
            </w:pPr>
            <w:r>
              <w:rPr>
                <w:rFonts w:hint="eastAsia" w:ascii="仿宋_GB2312" w:hAnsi="仿宋_GB2312" w:eastAsia="仿宋_GB2312" w:cs="仿宋_GB2312"/>
              </w:rPr>
              <w:t>学院中高职衔接试点专业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36" w:type="dxa"/>
            <w:tcBorders>
              <w:left w:val="single" w:color="auto" w:sz="12" w:space="0"/>
            </w:tcBorders>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11</w:t>
            </w:r>
          </w:p>
        </w:tc>
        <w:tc>
          <w:tcPr>
            <w:tcW w:w="1080" w:type="dxa"/>
            <w:vMerge w:val="continue"/>
            <w:vAlign w:val="center"/>
          </w:tcPr>
          <w:p>
            <w:pPr>
              <w:jc w:val="center"/>
              <w:rPr>
                <w:rFonts w:ascii="仿宋_GB2312" w:hAnsi="仿宋_GB2312" w:eastAsia="仿宋_GB2312" w:cs="仿宋_GB2312"/>
              </w:rPr>
            </w:pPr>
          </w:p>
        </w:tc>
        <w:tc>
          <w:tcPr>
            <w:tcW w:w="1335" w:type="dxa"/>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670301</w:t>
            </w:r>
          </w:p>
        </w:tc>
        <w:tc>
          <w:tcPr>
            <w:tcW w:w="2490" w:type="dxa"/>
            <w:shd w:val="clear" w:color="auto" w:fill="FFFFFF" w:themeFill="background1"/>
            <w:vAlign w:val="center"/>
          </w:tcPr>
          <w:p>
            <w:pPr>
              <w:jc w:val="center"/>
              <w:rPr>
                <w:rFonts w:ascii="仿宋_GB2312" w:hAnsi="仿宋_GB2312" w:eastAsia="仿宋_GB2312" w:cs="仿宋_GB2312"/>
              </w:rPr>
            </w:pPr>
            <w:r>
              <w:rPr>
                <w:rFonts w:hint="eastAsia" w:ascii="仿宋_GB2312" w:hAnsi="仿宋_GB2312" w:eastAsia="仿宋_GB2312" w:cs="仿宋_GB2312"/>
              </w:rPr>
              <w:t>文  秘</w:t>
            </w:r>
          </w:p>
        </w:tc>
        <w:tc>
          <w:tcPr>
            <w:tcW w:w="2881" w:type="dxa"/>
            <w:tcBorders>
              <w:right w:val="single" w:color="auto" w:sz="12" w:space="0"/>
            </w:tcBorders>
            <w:shd w:val="clear" w:color="auto" w:fill="FFFFFF" w:themeFill="background1"/>
          </w:tcPr>
          <w:p>
            <w:pPr>
              <w:jc w:val="center"/>
              <w:rPr>
                <w:rFonts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36" w:type="dxa"/>
            <w:tcBorders>
              <w:left w:val="single" w:color="auto" w:sz="12" w:space="0"/>
            </w:tcBorders>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12</w:t>
            </w:r>
          </w:p>
        </w:tc>
        <w:tc>
          <w:tcPr>
            <w:tcW w:w="1080" w:type="dxa"/>
            <w:vMerge w:val="restart"/>
            <w:vAlign w:val="center"/>
          </w:tcPr>
          <w:p>
            <w:pPr>
              <w:jc w:val="center"/>
              <w:rPr>
                <w:rFonts w:ascii="仿宋_GB2312" w:hAnsi="仿宋_GB2312" w:eastAsia="仿宋_GB2312" w:cs="仿宋_GB2312"/>
              </w:rPr>
            </w:pPr>
            <w:r>
              <w:rPr>
                <w:rFonts w:hint="eastAsia" w:ascii="仿宋_GB2312" w:hAnsi="仿宋_GB2312" w:eastAsia="仿宋_GB2312" w:cs="仿宋_GB2312"/>
              </w:rPr>
              <w:t>汽车智能制造</w:t>
            </w:r>
          </w:p>
        </w:tc>
        <w:tc>
          <w:tcPr>
            <w:tcW w:w="1335" w:type="dxa"/>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560702</w:t>
            </w:r>
          </w:p>
        </w:tc>
        <w:tc>
          <w:tcPr>
            <w:tcW w:w="2490" w:type="dxa"/>
            <w:shd w:val="clear" w:color="auto" w:fill="FFFFFF" w:themeFill="background1"/>
            <w:vAlign w:val="center"/>
          </w:tcPr>
          <w:p>
            <w:pPr>
              <w:jc w:val="center"/>
              <w:rPr>
                <w:rFonts w:ascii="仿宋_GB2312" w:hAnsi="仿宋_GB2312" w:eastAsia="仿宋_GB2312" w:cs="仿宋_GB2312"/>
              </w:rPr>
            </w:pPr>
            <w:r>
              <w:rPr>
                <w:rFonts w:hint="eastAsia" w:ascii="仿宋_GB2312" w:hAnsi="仿宋_GB2312" w:eastAsia="仿宋_GB2312" w:cs="仿宋_GB2312"/>
              </w:rPr>
              <w:t>汽车检测与维修技术</w:t>
            </w:r>
          </w:p>
        </w:tc>
        <w:tc>
          <w:tcPr>
            <w:tcW w:w="2881" w:type="dxa"/>
            <w:tcBorders>
              <w:right w:val="single" w:color="auto" w:sz="12" w:space="0"/>
            </w:tcBorders>
            <w:shd w:val="clear" w:color="auto" w:fill="FFFFFF" w:themeFill="background1"/>
          </w:tcPr>
          <w:p>
            <w:pPr>
              <w:jc w:val="center"/>
              <w:rPr>
                <w:rFonts w:ascii="仿宋_GB2312" w:hAnsi="仿宋_GB2312" w:eastAsia="仿宋_GB2312" w:cs="仿宋_GB2312"/>
              </w:rPr>
            </w:pPr>
            <w:r>
              <w:rPr>
                <w:rFonts w:hint="eastAsia" w:ascii="仿宋_GB2312" w:hAnsi="仿宋_GB2312" w:eastAsia="仿宋_GB2312" w:cs="仿宋_GB2312"/>
              </w:rPr>
              <w:t>省示范性特色专业群重点专业、校企合作专业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36" w:type="dxa"/>
            <w:tcBorders>
              <w:left w:val="single" w:color="auto" w:sz="12" w:space="0"/>
            </w:tcBorders>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13</w:t>
            </w:r>
          </w:p>
        </w:tc>
        <w:tc>
          <w:tcPr>
            <w:tcW w:w="1080" w:type="dxa"/>
            <w:vMerge w:val="continue"/>
            <w:vAlign w:val="center"/>
          </w:tcPr>
          <w:p>
            <w:pPr>
              <w:jc w:val="center"/>
              <w:rPr>
                <w:rFonts w:ascii="仿宋_GB2312" w:hAnsi="仿宋_GB2312" w:eastAsia="仿宋_GB2312" w:cs="仿宋_GB2312"/>
              </w:rPr>
            </w:pPr>
          </w:p>
        </w:tc>
        <w:tc>
          <w:tcPr>
            <w:tcW w:w="1335" w:type="dxa"/>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560113</w:t>
            </w:r>
          </w:p>
        </w:tc>
        <w:tc>
          <w:tcPr>
            <w:tcW w:w="2490" w:type="dxa"/>
            <w:shd w:val="clear" w:color="auto" w:fill="FFFFFF" w:themeFill="background1"/>
            <w:vAlign w:val="center"/>
          </w:tcPr>
          <w:p>
            <w:pPr>
              <w:jc w:val="center"/>
              <w:rPr>
                <w:rFonts w:ascii="仿宋_GB2312" w:hAnsi="仿宋_GB2312" w:eastAsia="仿宋_GB2312" w:cs="仿宋_GB2312"/>
              </w:rPr>
            </w:pPr>
            <w:r>
              <w:rPr>
                <w:rFonts w:hint="eastAsia" w:ascii="仿宋_GB2312" w:hAnsi="仿宋_GB2312" w:eastAsia="仿宋_GB2312" w:cs="仿宋_GB2312"/>
              </w:rPr>
              <w:t>模具设计与制造</w:t>
            </w:r>
          </w:p>
        </w:tc>
        <w:tc>
          <w:tcPr>
            <w:tcW w:w="2881" w:type="dxa"/>
            <w:tcBorders>
              <w:right w:val="single" w:color="auto" w:sz="12" w:space="0"/>
            </w:tcBorders>
            <w:shd w:val="clear" w:color="auto" w:fill="FFFFFF" w:themeFill="background1"/>
          </w:tcPr>
          <w:p>
            <w:pPr>
              <w:jc w:val="center"/>
              <w:rPr>
                <w:rFonts w:ascii="仿宋_GB2312" w:hAnsi="仿宋_GB2312" w:eastAsia="仿宋_GB2312" w:cs="仿宋_GB2312"/>
              </w:rPr>
            </w:pPr>
            <w:r>
              <w:rPr>
                <w:rFonts w:hint="eastAsia" w:ascii="仿宋_GB2312" w:hAnsi="仿宋_GB2312" w:eastAsia="仿宋_GB2312" w:cs="仿宋_GB2312"/>
                <w:color w:val="000000"/>
                <w:lang w:eastAsia="zh-CN"/>
              </w:rPr>
              <w:t>中央财政支持专业服务产业发展能力重点建设专业、</w:t>
            </w:r>
            <w:r>
              <w:rPr>
                <w:rFonts w:hint="eastAsia" w:ascii="仿宋_GB2312" w:hAnsi="仿宋_GB2312" w:eastAsia="仿宋_GB2312" w:cs="仿宋_GB2312"/>
              </w:rPr>
              <w:t>省精品专业、省示范性特色专业群重点专业、校企合作专业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36" w:type="dxa"/>
            <w:tcBorders>
              <w:left w:val="single" w:color="auto" w:sz="12" w:space="0"/>
            </w:tcBorders>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14</w:t>
            </w:r>
          </w:p>
        </w:tc>
        <w:tc>
          <w:tcPr>
            <w:tcW w:w="1080" w:type="dxa"/>
            <w:vMerge w:val="restart"/>
            <w:vAlign w:val="center"/>
          </w:tcPr>
          <w:p>
            <w:pPr>
              <w:jc w:val="center"/>
              <w:rPr>
                <w:rFonts w:ascii="仿宋_GB2312" w:hAnsi="仿宋_GB2312" w:eastAsia="仿宋_GB2312" w:cs="仿宋_GB2312"/>
              </w:rPr>
            </w:pPr>
            <w:r>
              <w:rPr>
                <w:rFonts w:hint="eastAsia" w:ascii="仿宋_GB2312" w:hAnsi="仿宋_GB2312" w:eastAsia="仿宋_GB2312" w:cs="仿宋_GB2312"/>
              </w:rPr>
              <w:t>建筑工程</w:t>
            </w:r>
          </w:p>
        </w:tc>
        <w:tc>
          <w:tcPr>
            <w:tcW w:w="1335" w:type="dxa"/>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540301</w:t>
            </w:r>
          </w:p>
        </w:tc>
        <w:tc>
          <w:tcPr>
            <w:tcW w:w="2490" w:type="dxa"/>
            <w:shd w:val="clear" w:color="auto" w:fill="FFFFFF" w:themeFill="background1"/>
            <w:vAlign w:val="center"/>
          </w:tcPr>
          <w:p>
            <w:pPr>
              <w:jc w:val="center"/>
              <w:rPr>
                <w:rFonts w:ascii="仿宋_GB2312" w:hAnsi="仿宋_GB2312" w:eastAsia="仿宋_GB2312" w:cs="仿宋_GB2312"/>
              </w:rPr>
            </w:pPr>
            <w:r>
              <w:rPr>
                <w:rFonts w:hint="eastAsia" w:ascii="仿宋_GB2312" w:hAnsi="仿宋_GB2312" w:eastAsia="仿宋_GB2312" w:cs="仿宋_GB2312"/>
              </w:rPr>
              <w:t>建筑工程技术</w:t>
            </w:r>
          </w:p>
        </w:tc>
        <w:tc>
          <w:tcPr>
            <w:tcW w:w="2881" w:type="dxa"/>
            <w:tcBorders>
              <w:right w:val="single" w:color="auto" w:sz="12" w:space="0"/>
            </w:tcBorders>
            <w:shd w:val="clear" w:color="auto" w:fill="FFFFFF" w:themeFill="background1"/>
          </w:tcPr>
          <w:p>
            <w:pPr>
              <w:jc w:val="center"/>
              <w:rPr>
                <w:rFonts w:ascii="仿宋_GB2312" w:hAnsi="仿宋_GB2312" w:eastAsia="仿宋_GB2312" w:cs="仿宋_GB2312"/>
              </w:rPr>
            </w:pPr>
            <w:r>
              <w:rPr>
                <w:rFonts w:hint="eastAsia" w:ascii="仿宋_GB2312" w:hAnsi="仿宋_GB2312" w:eastAsia="仿宋_GB2312" w:cs="仿宋_GB2312"/>
              </w:rPr>
              <w:t>重点发展专业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36" w:type="dxa"/>
            <w:tcBorders>
              <w:left w:val="single" w:color="auto" w:sz="12" w:space="0"/>
            </w:tcBorders>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15</w:t>
            </w:r>
          </w:p>
        </w:tc>
        <w:tc>
          <w:tcPr>
            <w:tcW w:w="1080" w:type="dxa"/>
            <w:vMerge w:val="continue"/>
            <w:vAlign w:val="center"/>
          </w:tcPr>
          <w:p>
            <w:pPr>
              <w:jc w:val="center"/>
              <w:rPr>
                <w:rFonts w:ascii="仿宋_GB2312" w:hAnsi="仿宋_GB2312" w:eastAsia="仿宋_GB2312" w:cs="仿宋_GB2312"/>
              </w:rPr>
            </w:pPr>
          </w:p>
        </w:tc>
        <w:tc>
          <w:tcPr>
            <w:tcW w:w="1335" w:type="dxa"/>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540502</w:t>
            </w:r>
          </w:p>
        </w:tc>
        <w:tc>
          <w:tcPr>
            <w:tcW w:w="2490" w:type="dxa"/>
            <w:shd w:val="clear" w:color="auto" w:fill="FFFFFF" w:themeFill="background1"/>
            <w:vAlign w:val="center"/>
          </w:tcPr>
          <w:p>
            <w:pPr>
              <w:jc w:val="center"/>
              <w:rPr>
                <w:rFonts w:ascii="仿宋_GB2312" w:hAnsi="仿宋_GB2312" w:eastAsia="仿宋_GB2312" w:cs="仿宋_GB2312"/>
              </w:rPr>
            </w:pPr>
            <w:r>
              <w:rPr>
                <w:rFonts w:hint="eastAsia" w:ascii="仿宋_GB2312" w:hAnsi="仿宋_GB2312" w:eastAsia="仿宋_GB2312" w:cs="仿宋_GB2312"/>
              </w:rPr>
              <w:t>工程造价</w:t>
            </w:r>
          </w:p>
        </w:tc>
        <w:tc>
          <w:tcPr>
            <w:tcW w:w="2881" w:type="dxa"/>
            <w:tcBorders>
              <w:right w:val="single" w:color="auto" w:sz="12" w:space="0"/>
            </w:tcBorders>
            <w:shd w:val="clear" w:color="auto" w:fill="FFFFFF" w:themeFill="background1"/>
          </w:tcPr>
          <w:p>
            <w:pPr>
              <w:jc w:val="center"/>
              <w:rPr>
                <w:rFonts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36" w:type="dxa"/>
            <w:tcBorders>
              <w:left w:val="single" w:color="auto" w:sz="12" w:space="0"/>
            </w:tcBorders>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16</w:t>
            </w:r>
          </w:p>
        </w:tc>
        <w:tc>
          <w:tcPr>
            <w:tcW w:w="1080" w:type="dxa"/>
            <w:vMerge w:val="restart"/>
            <w:vAlign w:val="center"/>
          </w:tcPr>
          <w:p>
            <w:pPr>
              <w:pStyle w:val="6"/>
              <w:widowControl/>
              <w:spacing w:beforeAutospacing="0" w:afterAutospacing="0" w:line="450" w:lineRule="atLeast"/>
              <w:jc w:val="both"/>
              <w:rPr>
                <w:rFonts w:ascii="仿宋_GB2312" w:hAnsi="仿宋_GB2312" w:eastAsia="仿宋_GB2312" w:cs="仿宋_GB2312"/>
                <w:color w:val="000000"/>
                <w:sz w:val="21"/>
              </w:rPr>
            </w:pPr>
            <w:r>
              <w:rPr>
                <w:rFonts w:hint="eastAsia" w:ascii="仿宋_GB2312" w:hAnsi="仿宋_GB2312" w:eastAsia="仿宋_GB2312" w:cs="仿宋_GB2312"/>
                <w:kern w:val="2"/>
                <w:sz w:val="21"/>
              </w:rPr>
              <w:t>生物工程</w:t>
            </w:r>
          </w:p>
        </w:tc>
        <w:tc>
          <w:tcPr>
            <w:tcW w:w="1335" w:type="dxa"/>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510302</w:t>
            </w:r>
          </w:p>
        </w:tc>
        <w:tc>
          <w:tcPr>
            <w:tcW w:w="2490" w:type="dxa"/>
            <w:shd w:val="clear" w:color="auto" w:fill="FFFFFF" w:themeFill="background1"/>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themeColor="text1"/>
                <w14:textFill>
                  <w14:solidFill>
                    <w14:schemeClr w14:val="tx1"/>
                  </w14:solidFill>
                </w14:textFill>
              </w:rPr>
              <w:t>动物医学</w:t>
            </w:r>
          </w:p>
        </w:tc>
        <w:tc>
          <w:tcPr>
            <w:tcW w:w="2881" w:type="dxa"/>
            <w:tcBorders>
              <w:right w:val="single" w:color="auto" w:sz="12" w:space="0"/>
            </w:tcBorders>
            <w:shd w:val="clear" w:color="auto" w:fill="FFFFFF" w:themeFill="background1"/>
          </w:tcPr>
          <w:p>
            <w:pPr>
              <w:jc w:val="left"/>
              <w:rPr>
                <w:rFonts w:ascii="仿宋_GB2312" w:hAnsi="仿宋_GB2312" w:eastAsia="仿宋_GB2312" w:cs="仿宋_GB2312"/>
                <w:color w:val="000000"/>
              </w:rPr>
            </w:pPr>
            <w:r>
              <w:rPr>
                <w:rFonts w:hint="eastAsia" w:ascii="仿宋_GB2312" w:hAnsi="仿宋_GB2312" w:eastAsia="仿宋_GB2312" w:cs="仿宋_GB2312"/>
                <w:color w:val="000000" w:themeColor="text1"/>
                <w14:textFill>
                  <w14:solidFill>
                    <w14:schemeClr w14:val="tx1"/>
                  </w14:solidFill>
                </w14:textFill>
              </w:rPr>
              <w:t>院特色专业、校企合作专业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36" w:type="dxa"/>
            <w:tcBorders>
              <w:left w:val="single" w:color="auto" w:sz="12" w:space="0"/>
              <w:bottom w:val="single" w:color="auto" w:sz="12" w:space="0"/>
            </w:tcBorders>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17</w:t>
            </w:r>
          </w:p>
        </w:tc>
        <w:tc>
          <w:tcPr>
            <w:tcW w:w="1080" w:type="dxa"/>
            <w:vMerge w:val="continue"/>
            <w:tcBorders>
              <w:bottom w:val="single" w:color="auto" w:sz="12" w:space="0"/>
            </w:tcBorders>
          </w:tcPr>
          <w:p>
            <w:pPr>
              <w:pStyle w:val="6"/>
              <w:widowControl/>
              <w:spacing w:beforeAutospacing="0" w:afterAutospacing="0" w:line="450" w:lineRule="atLeast"/>
              <w:jc w:val="both"/>
              <w:rPr>
                <w:rFonts w:ascii="仿宋_GB2312" w:hAnsi="仿宋_GB2312" w:eastAsia="仿宋_GB2312" w:cs="仿宋_GB2312"/>
                <w:color w:val="000000"/>
                <w:sz w:val="21"/>
              </w:rPr>
            </w:pPr>
          </w:p>
        </w:tc>
        <w:tc>
          <w:tcPr>
            <w:tcW w:w="1335" w:type="dxa"/>
            <w:tcBorders>
              <w:bottom w:val="single" w:color="auto" w:sz="12" w:space="0"/>
            </w:tcBorders>
            <w:shd w:val="clear" w:color="auto" w:fill="FFFFFF" w:themeFill="background1"/>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590202</w:t>
            </w:r>
          </w:p>
        </w:tc>
        <w:tc>
          <w:tcPr>
            <w:tcW w:w="2490" w:type="dxa"/>
            <w:tcBorders>
              <w:bottom w:val="single" w:color="auto" w:sz="12" w:space="0"/>
            </w:tcBorders>
            <w:shd w:val="clear" w:color="auto" w:fill="FFFFFF" w:themeFill="background1"/>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themeColor="text1"/>
                <w14:textFill>
                  <w14:solidFill>
                    <w14:schemeClr w14:val="tx1"/>
                  </w14:solidFill>
                </w14:textFill>
              </w:rPr>
              <w:t>药品生产技术</w:t>
            </w:r>
          </w:p>
        </w:tc>
        <w:tc>
          <w:tcPr>
            <w:tcW w:w="2881" w:type="dxa"/>
            <w:tcBorders>
              <w:bottom w:val="single" w:color="auto" w:sz="12" w:space="0"/>
              <w:right w:val="single" w:color="auto" w:sz="12" w:space="0"/>
            </w:tcBorders>
            <w:shd w:val="clear" w:color="auto" w:fill="FFFFFF" w:themeFill="background1"/>
          </w:tcPr>
          <w:p>
            <w:pPr>
              <w:jc w:val="left"/>
              <w:rPr>
                <w:rFonts w:hint="eastAsia" w:ascii="仿宋_GB2312" w:hAnsi="仿宋_GB2312" w:eastAsia="仿宋_GB2312" w:cs="仿宋_GB2312"/>
                <w:color w:val="000000"/>
                <w:lang w:eastAsia="zh-CN"/>
              </w:rPr>
            </w:pPr>
            <w:r>
              <w:rPr>
                <w:rFonts w:hint="eastAsia" w:ascii="仿宋_GB2312" w:hAnsi="仿宋_GB2312" w:eastAsia="仿宋_GB2312" w:cs="仿宋_GB2312"/>
                <w:color w:val="000000"/>
                <w:lang w:eastAsia="zh-CN"/>
              </w:rPr>
              <w:t>中央财政支持专业服务产业发展能力重点建设专业</w:t>
            </w:r>
          </w:p>
        </w:tc>
      </w:tr>
    </w:tbl>
    <w:p>
      <w:pPr>
        <w:pStyle w:val="6"/>
        <w:widowControl/>
        <w:shd w:val="clear" w:color="auto" w:fill="FFFFFF"/>
        <w:spacing w:beforeAutospacing="0" w:afterAutospacing="0"/>
        <w:jc w:val="center"/>
        <w:rPr>
          <w:rFonts w:ascii="仿宋_GB2312" w:eastAsia="仿宋_GB2312" w:cstheme="minorBidi"/>
          <w:b/>
          <w:bCs/>
          <w:kern w:val="2"/>
          <w:sz w:val="28"/>
          <w:szCs w:val="28"/>
        </w:rPr>
      </w:pPr>
      <w:r>
        <w:rPr>
          <w:rFonts w:hint="eastAsia" w:ascii="楷体" w:hAnsi="楷体" w:eastAsia="楷体" w:cs="楷体"/>
          <w:color w:val="000000"/>
          <w:sz w:val="21"/>
        </w:rPr>
        <w:t>数据来源：教务处</w:t>
      </w:r>
    </w:p>
    <w:p>
      <w:pPr>
        <w:pStyle w:val="2"/>
        <w:widowControl/>
        <w:spacing w:beforeAutospacing="0" w:afterAutospacing="0" w:line="520" w:lineRule="exact"/>
        <w:ind w:left="601"/>
        <w:jc w:val="both"/>
        <w:rPr>
          <w:rFonts w:hint="default" w:ascii="仿宋_GB2312" w:eastAsia="仿宋_GB2312" w:hAnsiTheme="minorHAnsi" w:cstheme="minorBidi"/>
          <w:b w:val="0"/>
          <w:kern w:val="2"/>
          <w:sz w:val="28"/>
          <w:szCs w:val="28"/>
        </w:rPr>
      </w:pPr>
      <w:r>
        <w:rPr>
          <w:rFonts w:ascii="仿宋_GB2312" w:eastAsia="仿宋_GB2312" w:hAnsiTheme="minorHAnsi" w:cstheme="minorBidi"/>
          <w:bCs/>
          <w:kern w:val="2"/>
          <w:sz w:val="28"/>
          <w:szCs w:val="28"/>
        </w:rPr>
        <w:t>（3）适应产业需求，专业（群）无缝对接产业链</w:t>
      </w:r>
      <w:r>
        <w:rPr>
          <w:rFonts w:ascii="仿宋_GB2312" w:eastAsia="仿宋_GB2312" w:hAnsiTheme="minorHAnsi" w:cstheme="minorBidi"/>
          <w:b w:val="0"/>
          <w:kern w:val="2"/>
          <w:sz w:val="28"/>
          <w:szCs w:val="28"/>
        </w:rPr>
        <w:t xml:space="preserve">  </w:t>
      </w:r>
    </w:p>
    <w:p>
      <w:pPr>
        <w:pStyle w:val="2"/>
        <w:widowControl/>
        <w:spacing w:beforeAutospacing="0" w:afterAutospacing="0" w:line="520" w:lineRule="exact"/>
        <w:ind w:firstLine="560" w:firstLineChars="200"/>
        <w:jc w:val="both"/>
        <w:rPr>
          <w:rFonts w:hint="default" w:ascii="仿宋_GB2312" w:eastAsia="仿宋_GB2312"/>
          <w:bCs/>
          <w:sz w:val="28"/>
          <w:szCs w:val="28"/>
        </w:rPr>
      </w:pPr>
      <w:r>
        <w:rPr>
          <w:rFonts w:ascii="仿宋_GB2312" w:eastAsia="仿宋_GB2312" w:hAnsiTheme="minorHAnsi" w:cstheme="minorBidi"/>
          <w:b w:val="0"/>
          <w:kern w:val="2"/>
          <w:sz w:val="28"/>
          <w:szCs w:val="28"/>
        </w:rPr>
        <w:t>深化产教融合，促进教育链、人才链与产业链的有机衔接，全面提高教育质量。围绕国家“供给侧”结构性改革、“互联网+”行动计划、“中国制造2025”和“大众创业，万众创新”的要求，围绕制造强省建设重点产业领域，聚焦20个工业新兴优势产业链，做好区域经济特色研究，响应邵阳市“一核一带多点”发展战略，有计划地开辟新的专业领域，2017年招生专业申报备案，拟增设</w:t>
      </w:r>
      <w:r>
        <w:rPr>
          <w:rFonts w:hint="eastAsia" w:ascii="仿宋_GB2312" w:eastAsia="仿宋_GB2312" w:hAnsiTheme="minorHAnsi" w:cstheme="minorBidi"/>
          <w:b w:val="0"/>
          <w:kern w:val="2"/>
          <w:sz w:val="28"/>
          <w:szCs w:val="28"/>
          <w:lang w:val="en-US" w:eastAsia="zh-CN"/>
        </w:rPr>
        <w:t>3</w:t>
      </w:r>
      <w:r>
        <w:rPr>
          <w:rFonts w:ascii="仿宋_GB2312" w:eastAsia="仿宋_GB2312" w:hAnsiTheme="minorHAnsi" w:cstheme="minorBidi"/>
          <w:b w:val="0"/>
          <w:kern w:val="2"/>
          <w:sz w:val="28"/>
          <w:szCs w:val="28"/>
        </w:rPr>
        <w:t>个专业</w:t>
      </w:r>
      <w:r>
        <w:rPr>
          <w:rFonts w:hint="eastAsia" w:ascii="仿宋_GB2312" w:eastAsia="仿宋_GB2312" w:hAnsiTheme="minorHAnsi" w:cstheme="minorBidi"/>
          <w:b w:val="0"/>
          <w:kern w:val="2"/>
          <w:sz w:val="28"/>
          <w:szCs w:val="28"/>
          <w:lang w:eastAsia="zh-CN"/>
        </w:rPr>
        <w:t>和恢复</w:t>
      </w:r>
      <w:r>
        <w:rPr>
          <w:rFonts w:hint="eastAsia" w:ascii="仿宋_GB2312" w:eastAsia="仿宋_GB2312" w:hAnsiTheme="minorHAnsi" w:cstheme="minorBidi"/>
          <w:b w:val="0"/>
          <w:kern w:val="2"/>
          <w:sz w:val="28"/>
          <w:szCs w:val="28"/>
          <w:lang w:val="en-US" w:eastAsia="zh-CN"/>
        </w:rPr>
        <w:t>1个专业</w:t>
      </w:r>
      <w:r>
        <w:rPr>
          <w:rFonts w:ascii="仿宋_GB2312" w:eastAsia="仿宋_GB2312" w:hAnsiTheme="minorHAnsi" w:cstheme="minorBidi"/>
          <w:b w:val="0"/>
          <w:kern w:val="2"/>
          <w:sz w:val="28"/>
          <w:szCs w:val="28"/>
        </w:rPr>
        <w:t>：工业机器人技术、汽车制造与装配技术、宠物临床诊疗技术、计算机网络技术，就是以产业链的需求为依据，开设新专业并纳入招生计划。</w:t>
      </w:r>
    </w:p>
    <w:p>
      <w:pPr>
        <w:spacing w:line="520" w:lineRule="exact"/>
        <w:rPr>
          <w:rFonts w:ascii="仿宋_GB2312" w:eastAsia="仿宋_GB2312"/>
          <w:b/>
          <w:bCs/>
          <w:sz w:val="28"/>
          <w:szCs w:val="28"/>
        </w:rPr>
      </w:pPr>
      <w:bookmarkStart w:id="119" w:name="_Toc32318"/>
      <w:bookmarkStart w:id="120" w:name="_Toc11452"/>
      <w:bookmarkStart w:id="121" w:name="_Toc22924"/>
      <w:bookmarkStart w:id="122" w:name="_Toc4067"/>
      <w:bookmarkStart w:id="123" w:name="_Toc6176"/>
      <w:bookmarkStart w:id="124" w:name="_Toc1273"/>
      <w:bookmarkStart w:id="125" w:name="_Toc18853"/>
      <w:r>
        <w:rPr>
          <w:rFonts w:hint="eastAsia" w:ascii="仿宋_GB2312" w:eastAsia="仿宋_GB2312"/>
          <w:b/>
          <w:bCs/>
          <w:sz w:val="28"/>
          <w:szCs w:val="28"/>
        </w:rPr>
        <w:t>3.4 教师素质提升</w:t>
      </w:r>
      <w:bookmarkEnd w:id="119"/>
      <w:bookmarkEnd w:id="120"/>
      <w:bookmarkEnd w:id="121"/>
      <w:bookmarkEnd w:id="122"/>
      <w:bookmarkEnd w:id="123"/>
      <w:bookmarkEnd w:id="124"/>
      <w:bookmarkEnd w:id="125"/>
    </w:p>
    <w:p>
      <w:pPr>
        <w:spacing w:line="520" w:lineRule="exact"/>
        <w:ind w:firstLine="562" w:firstLineChars="200"/>
        <w:rPr>
          <w:rFonts w:ascii="仿宋_GB2312" w:eastAsia="仿宋_GB2312"/>
          <w:b/>
          <w:bCs/>
          <w:sz w:val="28"/>
          <w:szCs w:val="28"/>
        </w:rPr>
      </w:pPr>
      <w:r>
        <w:rPr>
          <w:rFonts w:hint="eastAsia" w:ascii="仿宋_GB2312" w:eastAsia="仿宋_GB2312"/>
          <w:b/>
          <w:bCs/>
          <w:sz w:val="28"/>
          <w:szCs w:val="28"/>
        </w:rPr>
        <w:t>（1）师德师风师能建设常抓不懈</w:t>
      </w:r>
    </w:p>
    <w:p>
      <w:pPr>
        <w:spacing w:line="520" w:lineRule="exact"/>
        <w:ind w:firstLine="560" w:firstLineChars="200"/>
        <w:rPr>
          <w:rFonts w:hint="eastAsia" w:ascii="仿宋_GB2312" w:eastAsia="仿宋_GB2312"/>
          <w:sz w:val="28"/>
          <w:szCs w:val="28"/>
        </w:rPr>
      </w:pPr>
      <w:r>
        <w:rPr>
          <w:rFonts w:hint="eastAsia" w:ascii="仿宋_GB2312" w:eastAsia="仿宋_GB2312"/>
          <w:sz w:val="28"/>
          <w:szCs w:val="28"/>
        </w:rPr>
        <w:t>学院出台了《邵阳职业技术学院加强师德师风建设方案》，坚持教书与育人相统一，言传与身教相统一，引导全院教师以德立身、以德立学、以德施教。通过实施双培工程（培育教师名师、培养教学能手）、安排教师下企业锻炼、参加国外及省内外进修，不断提高教师的教学水平与实践教学能力；</w:t>
      </w:r>
      <w:r>
        <w:rPr>
          <w:rFonts w:hint="eastAsia" w:ascii="仿宋_GB2312" w:eastAsia="仿宋_GB2312"/>
          <w:sz w:val="28"/>
          <w:szCs w:val="28"/>
          <w:lang w:val="en-US" w:eastAsia="zh-CN"/>
        </w:rPr>
        <w:t>2017年教师在各类竞赛中获得国家级一等奖1个、三等奖4个；省级以上一等奖4个、二等奖9个、三等奖22个。</w:t>
      </w:r>
    </w:p>
    <w:p>
      <w:pPr>
        <w:spacing w:line="520" w:lineRule="exact"/>
        <w:ind w:firstLine="560" w:firstLineChars="200"/>
        <w:rPr>
          <w:rFonts w:hint="eastAsia" w:ascii="仿宋_GB2312" w:eastAsia="仿宋_GB2312"/>
          <w:sz w:val="28"/>
          <w:szCs w:val="28"/>
        </w:rPr>
      </w:pPr>
      <w:r>
        <w:rPr>
          <w:rFonts w:hint="eastAsia" w:ascii="仿宋_GB2312" w:eastAsia="仿宋_GB2312"/>
          <w:sz w:val="28"/>
          <w:szCs w:val="28"/>
        </w:rPr>
        <w:t>通过校企双向兼职，学院聘请企业技术人员、管理骨干、能工巧匠为兼职教师，建立了专业建设“双带头人制度”、课程建设“双骨干教师制度”和顶岗实习“双导师”制度；优化师资队伍结构，做好专业带头人和骨干教师培养引进工作。1 名教师成功申报省级青年骨干教师，1 名教师正在省内知名高校访学；学院制定新教师招聘计划，高层次人才引进计划，2017年成功引进高层次人才1名，新进教师15名。</w:t>
      </w:r>
    </w:p>
    <w:p>
      <w:pPr>
        <w:spacing w:line="240" w:lineRule="auto"/>
        <w:rPr>
          <w:rFonts w:hint="eastAsia" w:ascii="仿宋_GB2312" w:eastAsia="仿宋_GB2312"/>
          <w:sz w:val="28"/>
          <w:szCs w:val="28"/>
          <w:lang w:eastAsia="zh-CN"/>
        </w:rPr>
      </w:pPr>
      <w:r>
        <w:rPr>
          <w:rFonts w:hint="eastAsia" w:ascii="仿宋_GB2312" w:eastAsia="仿宋_GB2312"/>
          <w:sz w:val="28"/>
          <w:szCs w:val="28"/>
          <w:lang w:eastAsia="zh-CN"/>
        </w:rPr>
        <w:drawing>
          <wp:inline distT="0" distB="0" distL="114300" distR="114300">
            <wp:extent cx="2569845" cy="1852295"/>
            <wp:effectExtent l="0" t="0" r="1905" b="14605"/>
            <wp:docPr id="14" name="图片 14" descr="“一生一空间，生生有特色”职业院校网络学习空间征集活动（杨桂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一生一空间，生生有特色”职业院校网络学习空间征集活动（杨桂婷）"/>
                    <pic:cNvPicPr>
                      <a:picLocks noChangeAspect="1"/>
                    </pic:cNvPicPr>
                  </pic:nvPicPr>
                  <pic:blipFill>
                    <a:blip r:embed="rId38"/>
                    <a:stretch>
                      <a:fillRect/>
                    </a:stretch>
                  </pic:blipFill>
                  <pic:spPr>
                    <a:xfrm>
                      <a:off x="0" y="0"/>
                      <a:ext cx="2569845" cy="1852295"/>
                    </a:xfrm>
                    <a:prstGeom prst="rect">
                      <a:avLst/>
                    </a:prstGeom>
                  </pic:spPr>
                </pic:pic>
              </a:graphicData>
            </a:graphic>
          </wp:inline>
        </w:drawing>
      </w:r>
      <w:r>
        <w:rPr>
          <w:rFonts w:hint="eastAsia" w:ascii="仿宋_GB2312" w:eastAsia="仿宋_GB2312"/>
          <w:sz w:val="28"/>
          <w:szCs w:val="28"/>
          <w:lang w:eastAsia="zh-CN"/>
        </w:rPr>
        <w:drawing>
          <wp:inline distT="0" distB="0" distL="114300" distR="114300">
            <wp:extent cx="2523490" cy="1747520"/>
            <wp:effectExtent l="0" t="0" r="10160" b="5080"/>
            <wp:docPr id="31" name="图片 31" descr="首届全国机械行业职业院校微课大赛高职组（刘友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首届全国机械行业职业院校微课大赛高职组（刘友成）"/>
                    <pic:cNvPicPr>
                      <a:picLocks noChangeAspect="1"/>
                    </pic:cNvPicPr>
                  </pic:nvPicPr>
                  <pic:blipFill>
                    <a:blip r:embed="rId39"/>
                    <a:stretch>
                      <a:fillRect/>
                    </a:stretch>
                  </pic:blipFill>
                  <pic:spPr>
                    <a:xfrm>
                      <a:off x="0" y="0"/>
                      <a:ext cx="2523490" cy="1747520"/>
                    </a:xfrm>
                    <a:prstGeom prst="rect">
                      <a:avLst/>
                    </a:prstGeom>
                  </pic:spPr>
                </pic:pic>
              </a:graphicData>
            </a:graphic>
          </wp:inline>
        </w:drawing>
      </w:r>
    </w:p>
    <w:p>
      <w:pPr>
        <w:spacing w:line="240" w:lineRule="auto"/>
        <w:jc w:val="center"/>
        <w:rPr>
          <w:rFonts w:hint="eastAsia" w:ascii="楷体" w:hAnsi="楷体" w:eastAsia="楷体" w:cs="楷体"/>
          <w:sz w:val="21"/>
          <w:szCs w:val="21"/>
          <w:lang w:eastAsia="zh-CN"/>
        </w:rPr>
      </w:pPr>
      <w:r>
        <w:rPr>
          <w:rFonts w:hint="eastAsia" w:ascii="楷体" w:hAnsi="楷体" w:eastAsia="楷体" w:cs="楷体"/>
          <w:sz w:val="21"/>
          <w:szCs w:val="21"/>
          <w:lang w:eastAsia="zh-CN"/>
        </w:rPr>
        <w:t>图为教师获奖证书</w:t>
      </w:r>
    </w:p>
    <w:p>
      <w:pPr>
        <w:spacing w:line="520" w:lineRule="exact"/>
        <w:ind w:firstLine="562" w:firstLineChars="200"/>
        <w:rPr>
          <w:rFonts w:ascii="仿宋_GB2312" w:eastAsia="仿宋_GB2312"/>
          <w:b/>
          <w:bCs/>
          <w:sz w:val="28"/>
          <w:szCs w:val="28"/>
        </w:rPr>
      </w:pPr>
      <w:r>
        <w:rPr>
          <w:rFonts w:hint="eastAsia" w:ascii="仿宋_GB2312" w:eastAsia="仿宋_GB2312"/>
          <w:b/>
          <w:bCs/>
          <w:sz w:val="28"/>
          <w:szCs w:val="28"/>
        </w:rPr>
        <w:t>（2）加大师资培训力度，教师服务社会能力得到提升</w:t>
      </w:r>
    </w:p>
    <w:p>
      <w:pPr>
        <w:spacing w:line="520" w:lineRule="exact"/>
        <w:ind w:firstLine="560" w:firstLineChars="200"/>
        <w:rPr>
          <w:rFonts w:ascii="仿宋_GB2312" w:eastAsia="仿宋_GB2312"/>
          <w:sz w:val="28"/>
          <w:szCs w:val="28"/>
        </w:rPr>
      </w:pPr>
      <w:r>
        <w:rPr>
          <w:rFonts w:hint="eastAsia" w:ascii="仿宋_GB2312" w:eastAsia="仿宋_GB2312"/>
          <w:sz w:val="28"/>
          <w:szCs w:val="28"/>
        </w:rPr>
        <w:t>全年组织了新进教师教学能力培训、中青年教师微课制作培训，共培训107人次；选送教师参加包括国培、省培在内的各级各类培训进修37人次，全年安排教师下企业实践锻炼60人次，与2016年相比人数下降23.31%（见表3-1），主要原因是学院大规模的基本技能培训已接近完成，进入高层次培训所致。落实年轻教师“以老带新”管理办法，各系（院、部）对新进教师的培养做到了有计划总结、有实施方案、有指导记录。积极鼓励专业带头人在专业建设、技术服务中的引领作用，服务邵阳职业教育和经济社会发展。先后有20多名教师参加了邵阳市经信委、科技局和教育局组织的项目鉴定和评审工作，担任了市内职业教师招聘、信息化教学大赛的评委工作；学院教师在邵阳市学术界的影响力逐步提升。</w:t>
      </w:r>
    </w:p>
    <w:p>
      <w:pPr>
        <w:jc w:val="center"/>
        <w:rPr>
          <w:rFonts w:ascii="仿宋_GB2312" w:eastAsia="仿宋_GB2312"/>
          <w:b/>
          <w:bCs/>
          <w:sz w:val="24"/>
          <w:szCs w:val="24"/>
        </w:rPr>
      </w:pPr>
    </w:p>
    <w:p>
      <w:pPr>
        <w:jc w:val="center"/>
        <w:rPr>
          <w:rFonts w:ascii="仿宋_GB2312" w:eastAsia="仿宋_GB2312"/>
          <w:sz w:val="24"/>
          <w:szCs w:val="24"/>
        </w:rPr>
      </w:pPr>
      <w:r>
        <w:rPr>
          <w:rFonts w:hint="eastAsia" w:ascii="仿宋_GB2312" w:eastAsia="仿宋_GB2312"/>
          <w:b/>
          <w:bCs/>
          <w:sz w:val="24"/>
          <w:szCs w:val="24"/>
        </w:rPr>
        <w:t>表</w:t>
      </w:r>
      <w:r>
        <w:rPr>
          <w:rFonts w:hint="eastAsia" w:ascii="Times New Roman" w:hAnsi="Times New Roman" w:eastAsia="仿宋_GB2312"/>
          <w:b/>
          <w:sz w:val="24"/>
        </w:rPr>
        <w:t>3-</w:t>
      </w:r>
      <w:r>
        <w:rPr>
          <w:rFonts w:hint="eastAsia" w:ascii="Times New Roman" w:hAnsi="Times New Roman" w:eastAsia="仿宋_GB2312"/>
          <w:b/>
          <w:sz w:val="24"/>
          <w:lang w:val="en-US" w:eastAsia="zh-CN"/>
        </w:rPr>
        <w:t>5</w:t>
      </w:r>
      <w:r>
        <w:rPr>
          <w:rFonts w:hint="eastAsia" w:ascii="Times New Roman" w:hAnsi="Times New Roman" w:eastAsia="仿宋_GB2312"/>
          <w:b/>
          <w:sz w:val="24"/>
        </w:rPr>
        <w:t xml:space="preserve">  2015—2017</w:t>
      </w:r>
      <w:r>
        <w:rPr>
          <w:rFonts w:hint="eastAsia" w:ascii="仿宋_GB2312" w:eastAsia="仿宋_GB2312"/>
          <w:b/>
          <w:bCs/>
          <w:sz w:val="24"/>
          <w:szCs w:val="24"/>
        </w:rPr>
        <w:t>年学院教师培训情况表</w:t>
      </w:r>
    </w:p>
    <w:tbl>
      <w:tblPr>
        <w:tblStyle w:val="8"/>
        <w:tblW w:w="8180" w:type="dxa"/>
        <w:jc w:val="center"/>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026"/>
        <w:gridCol w:w="1230"/>
        <w:gridCol w:w="1080"/>
        <w:gridCol w:w="11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709"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序号</w:t>
            </w:r>
          </w:p>
        </w:tc>
        <w:tc>
          <w:tcPr>
            <w:tcW w:w="4026" w:type="dxa"/>
            <w:tcBorders>
              <w:tl2br w:val="nil"/>
              <w:tr2bl w:val="nil"/>
            </w:tcBorders>
            <w:shd w:val="clear" w:color="auto" w:fill="FFFFFF"/>
            <w:vAlign w:val="center"/>
          </w:tcPr>
          <w:p>
            <w:pPr>
              <w:tabs>
                <w:tab w:val="center" w:pos="1654"/>
                <w:tab w:val="left" w:pos="2502"/>
              </w:tabs>
              <w:jc w:val="center"/>
              <w:rPr>
                <w:rFonts w:ascii="Times New Roman" w:hAnsi="Times New Roman" w:eastAsia="仿宋_GB2312"/>
                <w:b/>
                <w:bCs/>
              </w:rPr>
            </w:pPr>
            <w:r>
              <w:rPr>
                <w:rFonts w:hint="eastAsia" w:ascii="Times New Roman" w:hAnsi="Times New Roman" w:eastAsia="仿宋_GB2312"/>
                <w:b/>
                <w:bCs/>
              </w:rPr>
              <w:t>指 标</w:t>
            </w:r>
          </w:p>
        </w:tc>
        <w:tc>
          <w:tcPr>
            <w:tcW w:w="1230" w:type="dxa"/>
            <w:tcBorders>
              <w:tl2br w:val="nil"/>
              <w:tr2bl w:val="nil"/>
            </w:tcBorders>
            <w:shd w:val="clear" w:color="auto" w:fill="FFFFFF"/>
            <w:vAlign w:val="center"/>
          </w:tcPr>
          <w:p>
            <w:pPr>
              <w:tabs>
                <w:tab w:val="center" w:pos="1654"/>
                <w:tab w:val="left" w:pos="2502"/>
              </w:tabs>
              <w:jc w:val="center"/>
              <w:rPr>
                <w:rFonts w:ascii="Times New Roman" w:hAnsi="Times New Roman" w:eastAsia="仿宋_GB2312"/>
                <w:b/>
                <w:bCs/>
              </w:rPr>
            </w:pPr>
            <w:r>
              <w:rPr>
                <w:rFonts w:hint="eastAsia" w:ascii="Times New Roman" w:hAnsi="Times New Roman" w:eastAsia="仿宋_GB2312"/>
                <w:b/>
                <w:bCs/>
              </w:rPr>
              <w:t>2015年</w:t>
            </w:r>
          </w:p>
        </w:tc>
        <w:tc>
          <w:tcPr>
            <w:tcW w:w="1080"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2016年</w:t>
            </w:r>
          </w:p>
        </w:tc>
        <w:tc>
          <w:tcPr>
            <w:tcW w:w="1135" w:type="dxa"/>
            <w:tcBorders>
              <w:tl2br w:val="nil"/>
              <w:tr2bl w:val="nil"/>
            </w:tcBorders>
            <w:shd w:val="clear" w:color="auto" w:fill="FFFFFF"/>
            <w:vAlign w:val="center"/>
          </w:tcPr>
          <w:p>
            <w:pPr>
              <w:jc w:val="center"/>
              <w:rPr>
                <w:rFonts w:ascii="Times New Roman" w:hAnsi="Times New Roman" w:eastAsia="仿宋_GB2312"/>
                <w:b/>
                <w:bCs/>
              </w:rPr>
            </w:pPr>
            <w:r>
              <w:rPr>
                <w:rFonts w:hint="eastAsia" w:ascii="Times New Roman" w:hAnsi="Times New Roman" w:eastAsia="仿宋_GB2312"/>
                <w:b/>
                <w:bCs/>
              </w:rPr>
              <w:t>2017年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09" w:type="dxa"/>
            <w:tcBorders>
              <w:tl2br w:val="nil"/>
              <w:tr2bl w:val="nil"/>
            </w:tcBorders>
            <w:shd w:val="clear" w:color="auto" w:fill="FFFFFF"/>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1</w:t>
            </w:r>
          </w:p>
        </w:tc>
        <w:tc>
          <w:tcPr>
            <w:tcW w:w="4026"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院级教学培训（人次）</w:t>
            </w:r>
          </w:p>
        </w:tc>
        <w:tc>
          <w:tcPr>
            <w:tcW w:w="123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156</w:t>
            </w:r>
          </w:p>
        </w:tc>
        <w:tc>
          <w:tcPr>
            <w:tcW w:w="108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197</w:t>
            </w:r>
          </w:p>
        </w:tc>
        <w:tc>
          <w:tcPr>
            <w:tcW w:w="1135"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107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709" w:type="dxa"/>
            <w:tcBorders>
              <w:tl2br w:val="nil"/>
              <w:tr2bl w:val="nil"/>
            </w:tcBorders>
            <w:shd w:val="clear" w:color="auto" w:fill="FFFFFF"/>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2</w:t>
            </w:r>
          </w:p>
        </w:tc>
        <w:tc>
          <w:tcPr>
            <w:tcW w:w="4026"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国培、省培（人次）</w:t>
            </w:r>
          </w:p>
        </w:tc>
        <w:tc>
          <w:tcPr>
            <w:tcW w:w="123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14</w:t>
            </w:r>
          </w:p>
        </w:tc>
        <w:tc>
          <w:tcPr>
            <w:tcW w:w="108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16</w:t>
            </w:r>
          </w:p>
        </w:tc>
        <w:tc>
          <w:tcPr>
            <w:tcW w:w="1135"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09" w:type="dxa"/>
            <w:tcBorders>
              <w:tl2br w:val="nil"/>
              <w:tr2bl w:val="nil"/>
            </w:tcBorders>
            <w:shd w:val="clear" w:color="auto" w:fill="FFFFFF"/>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3</w:t>
            </w:r>
          </w:p>
        </w:tc>
        <w:tc>
          <w:tcPr>
            <w:tcW w:w="4026" w:type="dxa"/>
            <w:tcBorders>
              <w:tl2br w:val="nil"/>
              <w:tr2bl w:val="nil"/>
            </w:tcBorders>
            <w:shd w:val="clear" w:color="auto" w:fill="FFFFFF"/>
            <w:vAlign w:val="center"/>
          </w:tcPr>
          <w:p>
            <w:pPr>
              <w:jc w:val="center"/>
              <w:rPr>
                <w:rFonts w:ascii="Times New Roman" w:hAnsi="Times New Roman" w:eastAsia="仿宋_GB2312"/>
              </w:rPr>
            </w:pPr>
            <w:r>
              <w:rPr>
                <w:rFonts w:hint="eastAsia" w:ascii="仿宋_GB2312" w:eastAsia="仿宋_GB2312"/>
              </w:rPr>
              <w:t>下企业实践（人次）</w:t>
            </w:r>
          </w:p>
        </w:tc>
        <w:tc>
          <w:tcPr>
            <w:tcW w:w="123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58</w:t>
            </w:r>
          </w:p>
        </w:tc>
        <w:tc>
          <w:tcPr>
            <w:tcW w:w="108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53</w:t>
            </w:r>
          </w:p>
        </w:tc>
        <w:tc>
          <w:tcPr>
            <w:tcW w:w="1135"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09" w:type="dxa"/>
            <w:tcBorders>
              <w:tl2br w:val="nil"/>
              <w:tr2bl w:val="nil"/>
            </w:tcBorders>
            <w:shd w:val="clear" w:color="auto" w:fill="FFFFFF"/>
            <w:vAlign w:val="center"/>
          </w:tcPr>
          <w:p>
            <w:pPr>
              <w:jc w:val="center"/>
              <w:rPr>
                <w:rFonts w:ascii="Times New Roman" w:hAnsi="Times New Roman" w:eastAsia="仿宋_GB2312"/>
                <w:sz w:val="24"/>
                <w:szCs w:val="24"/>
              </w:rPr>
            </w:pPr>
          </w:p>
        </w:tc>
        <w:tc>
          <w:tcPr>
            <w:tcW w:w="4026" w:type="dxa"/>
            <w:tcBorders>
              <w:tl2br w:val="nil"/>
              <w:tr2bl w:val="nil"/>
            </w:tcBorders>
            <w:shd w:val="clear" w:color="auto" w:fill="FFFFFF"/>
            <w:vAlign w:val="center"/>
          </w:tcPr>
          <w:p>
            <w:pPr>
              <w:jc w:val="center"/>
              <w:rPr>
                <w:rFonts w:ascii="仿宋_GB2312" w:eastAsia="仿宋_GB2312"/>
              </w:rPr>
            </w:pPr>
            <w:r>
              <w:rPr>
                <w:rFonts w:hint="eastAsia" w:ascii="仿宋_GB2312" w:eastAsia="仿宋_GB2312"/>
              </w:rPr>
              <w:t>合  计</w:t>
            </w:r>
          </w:p>
        </w:tc>
        <w:tc>
          <w:tcPr>
            <w:tcW w:w="123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228</w:t>
            </w:r>
          </w:p>
        </w:tc>
        <w:tc>
          <w:tcPr>
            <w:tcW w:w="1080"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266</w:t>
            </w:r>
          </w:p>
        </w:tc>
        <w:tc>
          <w:tcPr>
            <w:tcW w:w="1135" w:type="dxa"/>
            <w:tcBorders>
              <w:tl2br w:val="nil"/>
              <w:tr2bl w:val="nil"/>
            </w:tcBorders>
            <w:shd w:val="clear" w:color="auto" w:fill="FFFFFF"/>
            <w:vAlign w:val="center"/>
          </w:tcPr>
          <w:p>
            <w:pPr>
              <w:jc w:val="center"/>
              <w:rPr>
                <w:rFonts w:ascii="Times New Roman" w:hAnsi="Times New Roman" w:eastAsia="仿宋_GB2312"/>
              </w:rPr>
            </w:pPr>
            <w:r>
              <w:rPr>
                <w:rFonts w:hint="eastAsia" w:ascii="Times New Roman" w:hAnsi="Times New Roman" w:eastAsia="仿宋_GB2312"/>
              </w:rPr>
              <w:t>204</w:t>
            </w:r>
          </w:p>
        </w:tc>
      </w:tr>
    </w:tbl>
    <w:p>
      <w:pPr>
        <w:ind w:firstLine="315" w:firstLineChars="150"/>
        <w:jc w:val="center"/>
        <w:rPr>
          <w:rFonts w:ascii="仿宋_GB2312" w:eastAsia="仿宋_GB2312"/>
          <w:b/>
          <w:bCs/>
          <w:sz w:val="28"/>
          <w:szCs w:val="28"/>
        </w:rPr>
      </w:pPr>
      <w:r>
        <w:rPr>
          <w:rFonts w:hint="eastAsia" w:ascii="楷体" w:hAnsi="楷体" w:eastAsia="楷体" w:cs="楷体"/>
        </w:rPr>
        <w:t>数据来源：教务处</w:t>
      </w:r>
    </w:p>
    <w:p>
      <w:pPr>
        <w:spacing w:line="520" w:lineRule="exact"/>
        <w:ind w:firstLine="562" w:firstLineChars="200"/>
        <w:rPr>
          <w:rFonts w:ascii="仿宋_GB2312" w:eastAsia="仿宋_GB2312"/>
          <w:b/>
          <w:bCs/>
          <w:sz w:val="28"/>
          <w:szCs w:val="28"/>
        </w:rPr>
      </w:pPr>
    </w:p>
    <w:p>
      <w:r>
        <w:rPr>
          <w:rFonts w:hint="eastAsia"/>
        </w:rPr>
        <w:drawing>
          <wp:inline distT="0" distB="0" distL="114300" distR="114300">
            <wp:extent cx="2571115" cy="1927860"/>
            <wp:effectExtent l="0" t="0" r="635" b="15240"/>
            <wp:docPr id="21" name="图片 21" descr="IMG_20170823_09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170823_093331"/>
                    <pic:cNvPicPr>
                      <a:picLocks noChangeAspect="1"/>
                    </pic:cNvPicPr>
                  </pic:nvPicPr>
                  <pic:blipFill>
                    <a:blip r:embed="rId40" cstate="print"/>
                    <a:stretch>
                      <a:fillRect/>
                    </a:stretch>
                  </pic:blipFill>
                  <pic:spPr>
                    <a:xfrm>
                      <a:off x="0" y="0"/>
                      <a:ext cx="2571115" cy="1927860"/>
                    </a:xfrm>
                    <a:prstGeom prst="rect">
                      <a:avLst/>
                    </a:prstGeom>
                  </pic:spPr>
                </pic:pic>
              </a:graphicData>
            </a:graphic>
          </wp:inline>
        </w:drawing>
      </w:r>
      <w:r>
        <w:rPr>
          <w:rFonts w:hint="eastAsia"/>
        </w:rPr>
        <w:drawing>
          <wp:inline distT="0" distB="0" distL="114300" distR="114300">
            <wp:extent cx="2640330" cy="1980565"/>
            <wp:effectExtent l="0" t="0" r="7620" b="635"/>
            <wp:docPr id="34" name="图片 34" descr="苏州高博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苏州高博4"/>
                    <pic:cNvPicPr>
                      <a:picLocks noChangeAspect="1"/>
                    </pic:cNvPicPr>
                  </pic:nvPicPr>
                  <pic:blipFill>
                    <a:blip r:embed="rId41" cstate="print"/>
                    <a:stretch>
                      <a:fillRect/>
                    </a:stretch>
                  </pic:blipFill>
                  <pic:spPr>
                    <a:xfrm>
                      <a:off x="0" y="0"/>
                      <a:ext cx="2640330" cy="1980565"/>
                    </a:xfrm>
                    <a:prstGeom prst="rect">
                      <a:avLst/>
                    </a:prstGeom>
                  </pic:spPr>
                </pic:pic>
              </a:graphicData>
            </a:graphic>
          </wp:inline>
        </w:drawing>
      </w:r>
    </w:p>
    <w:p>
      <w:pPr>
        <w:jc w:val="center"/>
        <w:rPr>
          <w:rFonts w:ascii="楷体" w:hAnsi="楷体" w:eastAsia="楷体" w:cs="楷体"/>
        </w:rPr>
      </w:pPr>
      <w:r>
        <w:rPr>
          <w:rFonts w:hint="eastAsia" w:ascii="楷体" w:hAnsi="楷体" w:eastAsia="楷体" w:cs="楷体"/>
        </w:rPr>
        <w:t>图为教师参加校外工业机器人培训和电梯工程技术培训</w:t>
      </w:r>
    </w:p>
    <w:p>
      <w:pPr>
        <w:spacing w:line="520" w:lineRule="exact"/>
        <w:ind w:firstLine="562" w:firstLineChars="200"/>
        <w:rPr>
          <w:rFonts w:ascii="仿宋_GB2312" w:eastAsia="仿宋_GB2312"/>
          <w:b/>
          <w:bCs/>
          <w:sz w:val="28"/>
          <w:szCs w:val="28"/>
        </w:rPr>
      </w:pPr>
      <w:r>
        <w:rPr>
          <w:rFonts w:hint="eastAsia" w:ascii="仿宋_GB2312" w:eastAsia="仿宋_GB2312"/>
          <w:b/>
          <w:bCs/>
          <w:sz w:val="28"/>
          <w:szCs w:val="28"/>
        </w:rPr>
        <w:t>（3）兼职教师队伍管理规范有序，兼职教师队伍稳中有升</w:t>
      </w:r>
    </w:p>
    <w:p>
      <w:pPr>
        <w:spacing w:line="520" w:lineRule="exact"/>
        <w:ind w:firstLine="560" w:firstLineChars="200"/>
        <w:rPr>
          <w:rFonts w:ascii="仿宋_GB2312" w:eastAsia="仿宋_GB2312"/>
          <w:sz w:val="28"/>
          <w:szCs w:val="28"/>
        </w:rPr>
      </w:pPr>
      <w:r>
        <w:rPr>
          <w:rFonts w:hint="eastAsia" w:ascii="仿宋_GB2312" w:eastAsia="仿宋_GB2312"/>
          <w:sz w:val="28"/>
          <w:szCs w:val="28"/>
        </w:rPr>
        <w:t>根据《湖南省职业院校兼职教师聘用与管理办法》，学院制定了《外聘教师管理暂行办法》，完善了兼职教师聘用与管理，对兼职教师的教学评价采用与在职教师相同标准，努力提高兼职教师队伍整体素质。2017年共聘请校外兼职教师33人，一学年来完成教学课时10457节，人均完成年教学课时316节。</w:t>
      </w:r>
    </w:p>
    <w:p>
      <w:pPr>
        <w:spacing w:line="520" w:lineRule="exact"/>
        <w:rPr>
          <w:rFonts w:ascii="仿宋_GB2312" w:eastAsia="仿宋_GB2312"/>
          <w:b/>
          <w:bCs/>
          <w:sz w:val="28"/>
          <w:szCs w:val="28"/>
        </w:rPr>
      </w:pPr>
      <w:bookmarkStart w:id="126" w:name="_Toc27888"/>
      <w:bookmarkStart w:id="127" w:name="_Toc25051"/>
      <w:bookmarkStart w:id="128" w:name="_Toc15951"/>
      <w:bookmarkStart w:id="129" w:name="_Toc20459"/>
      <w:bookmarkStart w:id="130" w:name="_Toc17293"/>
      <w:bookmarkStart w:id="131" w:name="_Toc15733"/>
      <w:bookmarkStart w:id="132" w:name="_Toc31283"/>
      <w:r>
        <w:rPr>
          <w:rFonts w:hint="eastAsia" w:ascii="仿宋_GB2312" w:eastAsia="仿宋_GB2312"/>
          <w:b/>
          <w:bCs/>
          <w:sz w:val="28"/>
          <w:szCs w:val="28"/>
        </w:rPr>
        <w:t>3.5校企合作育人</w:t>
      </w:r>
      <w:bookmarkEnd w:id="126"/>
      <w:bookmarkEnd w:id="127"/>
      <w:bookmarkEnd w:id="128"/>
      <w:bookmarkEnd w:id="129"/>
      <w:bookmarkEnd w:id="130"/>
      <w:bookmarkEnd w:id="131"/>
      <w:bookmarkEnd w:id="132"/>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2" w:firstLineChars="200"/>
        <w:jc w:val="both"/>
        <w:textAlignment w:val="auto"/>
        <w:outlineLvl w:val="9"/>
        <w:rPr>
          <w:rFonts w:ascii="仿宋_GB2312" w:eastAsia="仿宋_GB2312"/>
          <w:sz w:val="28"/>
          <w:szCs w:val="28"/>
        </w:rPr>
      </w:pPr>
      <w:r>
        <w:rPr>
          <w:rFonts w:hint="eastAsia" w:ascii="仿宋_GB2312" w:eastAsia="仿宋_GB2312"/>
          <w:b/>
          <w:bCs/>
          <w:sz w:val="28"/>
          <w:szCs w:val="28"/>
        </w:rPr>
        <w:t>突破现有办学体制，探索校企合作办学的新模式。</w:t>
      </w:r>
      <w:r>
        <w:rPr>
          <w:rFonts w:hint="eastAsia" w:ascii="仿宋_GB2312" w:eastAsia="仿宋_GB2312"/>
          <w:sz w:val="28"/>
          <w:szCs w:val="28"/>
        </w:rPr>
        <w:t>充分发挥地域及行业优势,按照“合作办学、合作育人、合作就业”的办学理念,积极开拓办学思路，面向市场办教育，尝试新的办学模式。引入企业的岗位职业标准体系、企业运行的流程、规范和制度，打造最真实的工作和服务环境。电梯工程学院与迅达（中国）电梯有限公司就电梯产业人才培养联合办学，实施“产学合一，做学合一、车间课堂合一、教师与师傅合一、校企文化合一、校企发展合一”的“双主体、六合一”的人才培养模式；生物工程系与湖南宝东农牧有限公司合作，校企深度融合，产学研结合，在完善“一线贯通，两证对接，三方共育，四环推进”人才培养模式的基础上，探索 “三方向，四轮动，五段渐进”专业人才培养模式，全面提高学生的职业综合素质（见图3-1)。信息技术与创意系联合百捷教育投资管理有限公司开办电子商务专业（百度网络运营与管理方向）、计算机应用技术专业（安卓应用开发方向）。汽车与智能制造学院与</w:t>
      </w:r>
      <w:bookmarkStart w:id="133" w:name="_Hlk501528456"/>
      <w:r>
        <w:rPr>
          <w:rFonts w:hint="eastAsia" w:ascii="仿宋_GB2312" w:eastAsia="仿宋_GB2312"/>
          <w:sz w:val="28"/>
          <w:szCs w:val="28"/>
        </w:rPr>
        <w:t>广东睿昌智能制造科技发展有限公司</w:t>
      </w:r>
      <w:bookmarkEnd w:id="133"/>
      <w:r>
        <w:rPr>
          <w:rFonts w:hint="eastAsia" w:ascii="仿宋_GB2312" w:eastAsia="仿宋_GB2312"/>
          <w:sz w:val="28"/>
          <w:szCs w:val="28"/>
        </w:rPr>
        <w:t>建立了紧密型校企合作关系，广东睿昌智能制造科技发展有限公司投资1000万元，打造工业机器人应用技术，SMT，3D打印技术三大生产性实训基地。生物工程系建有深圳瑞鹏宠物医院连锁有限公司、广州善悦动物医院、湘潭迅康动物医院等宠物诊疗校外实训与就业基地。校企双方共同打造教学、科研与服务一体化的综合实习实训基地。通过“基地共建、管理同担、人才共培、师资互补、资源互助、文化交融”实现校企共赢，为建设品牌特色专业、培养高素质技术技能人才提供支撑。</w:t>
      </w:r>
    </w:p>
    <w:p>
      <w:pPr>
        <w:spacing w:line="520" w:lineRule="exact"/>
        <w:ind w:firstLine="482" w:firstLineChars="200"/>
        <w:jc w:val="center"/>
        <w:rPr>
          <w:rFonts w:ascii="仿宋_GB2312" w:eastAsia="仿宋_GB2312"/>
          <w:b/>
          <w:bCs/>
          <w:sz w:val="24"/>
          <w:szCs w:val="24"/>
        </w:rPr>
      </w:pPr>
      <w:r>
        <w:rPr>
          <w:rFonts w:hint="eastAsia" w:ascii="仿宋_GB2312" w:eastAsia="仿宋_GB2312"/>
          <w:b/>
          <w:bCs/>
          <w:sz w:val="24"/>
          <w:szCs w:val="24"/>
        </w:rPr>
        <w:t>图3-1 “三方向，四轮动，五段渐进”专业人才培养模式</w:t>
      </w:r>
    </w:p>
    <w:p>
      <w:pPr>
        <w:pStyle w:val="6"/>
        <w:widowControl/>
        <w:shd w:val="clear" w:color="auto" w:fill="FFFFFF"/>
        <w:spacing w:beforeAutospacing="0" w:afterAutospacing="0"/>
        <w:jc w:val="center"/>
        <w:rPr>
          <w:rFonts w:ascii="仿宋_GB2312" w:eastAsia="仿宋_GB2312"/>
          <w:color w:val="000000"/>
          <w:sz w:val="32"/>
          <w:szCs w:val="32"/>
        </w:rPr>
      </w:pPr>
      <w:r>
        <w:rPr>
          <w:rFonts w:hint="eastAsia" w:ascii="仿宋_GB2312" w:eastAsia="仿宋_GB2312"/>
          <w:color w:val="000000"/>
          <w:sz w:val="32"/>
          <w:szCs w:val="32"/>
        </w:rPr>
        <w:drawing>
          <wp:inline distT="0" distB="0" distL="0" distR="0">
            <wp:extent cx="4334510" cy="2054860"/>
            <wp:effectExtent l="0" t="0" r="8890" b="0"/>
            <wp:docPr id="20"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4334510" cy="2054860"/>
                    </a:xfrm>
                    <a:prstGeom prst="rect">
                      <a:avLst/>
                    </a:prstGeom>
                    <a:noFill/>
                    <a:ln>
                      <a:noFill/>
                    </a:ln>
                  </pic:spPr>
                </pic:pic>
              </a:graphicData>
            </a:graphic>
          </wp:inline>
        </w:drawing>
      </w:r>
    </w:p>
    <w:p>
      <w:pPr>
        <w:jc w:val="center"/>
        <w:rPr>
          <w:rFonts w:ascii="仿宋_GB2312" w:eastAsia="仿宋_GB2312"/>
          <w:sz w:val="28"/>
          <w:szCs w:val="28"/>
        </w:rPr>
      </w:pPr>
      <w:r>
        <w:rPr>
          <w:rFonts w:ascii="宋体" w:hAnsi="宋体" w:eastAsia="宋体" w:cs="宋体"/>
          <w:sz w:val="24"/>
          <w:szCs w:val="24"/>
        </w:rPr>
        <w:drawing>
          <wp:inline distT="0" distB="0" distL="114300" distR="114300">
            <wp:extent cx="4181475" cy="2785745"/>
            <wp:effectExtent l="0" t="0" r="9525" b="14605"/>
            <wp:docPr id="1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6"/>
                    <pic:cNvPicPr>
                      <a:picLocks noChangeAspect="1"/>
                    </pic:cNvPicPr>
                  </pic:nvPicPr>
                  <pic:blipFill>
                    <a:blip r:embed="rId43"/>
                    <a:stretch>
                      <a:fillRect/>
                    </a:stretch>
                  </pic:blipFill>
                  <pic:spPr>
                    <a:xfrm>
                      <a:off x="0" y="0"/>
                      <a:ext cx="4181475" cy="2785745"/>
                    </a:xfrm>
                    <a:prstGeom prst="rect">
                      <a:avLst/>
                    </a:prstGeom>
                    <a:noFill/>
                    <a:ln w="9525">
                      <a:noFill/>
                    </a:ln>
                  </pic:spPr>
                </pic:pic>
              </a:graphicData>
            </a:graphic>
          </wp:inline>
        </w:drawing>
      </w:r>
    </w:p>
    <w:p>
      <w:pPr>
        <w:ind w:firstLine="420" w:firstLineChars="200"/>
        <w:jc w:val="center"/>
        <w:rPr>
          <w:rFonts w:ascii="楷体" w:hAnsi="楷体" w:eastAsia="楷体" w:cs="楷体"/>
        </w:rPr>
      </w:pPr>
      <w:r>
        <w:rPr>
          <w:rFonts w:hint="eastAsia" w:ascii="楷体" w:hAnsi="楷体" w:eastAsia="楷体" w:cs="楷体"/>
        </w:rPr>
        <w:t>图为校企合作签约仪式</w:t>
      </w:r>
    </w:p>
    <w:p>
      <w:pPr>
        <w:ind w:firstLine="420" w:firstLineChars="200"/>
        <w:jc w:val="center"/>
        <w:rPr>
          <w:rFonts w:ascii="楷体" w:hAnsi="楷体" w:eastAsia="楷体" w:cs="楷体"/>
        </w:rPr>
      </w:pPr>
    </w:p>
    <w:p>
      <w:pPr>
        <w:jc w:val="center"/>
      </w:pPr>
      <w:r>
        <w:rPr>
          <w:rFonts w:hint="eastAsia"/>
        </w:rPr>
        <w:drawing>
          <wp:inline distT="0" distB="0" distL="114300" distR="114300">
            <wp:extent cx="4088765" cy="2726055"/>
            <wp:effectExtent l="0" t="0" r="6985" b="17145"/>
            <wp:docPr id="33" name="图片 33" descr="IMG_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5193"/>
                    <pic:cNvPicPr>
                      <a:picLocks noChangeAspect="1"/>
                    </pic:cNvPicPr>
                  </pic:nvPicPr>
                  <pic:blipFill>
                    <a:blip r:embed="rId44" cstate="print"/>
                    <a:stretch>
                      <a:fillRect/>
                    </a:stretch>
                  </pic:blipFill>
                  <pic:spPr>
                    <a:xfrm>
                      <a:off x="0" y="0"/>
                      <a:ext cx="4088765" cy="2726055"/>
                    </a:xfrm>
                    <a:prstGeom prst="rect">
                      <a:avLst/>
                    </a:prstGeom>
                  </pic:spPr>
                </pic:pic>
              </a:graphicData>
            </a:graphic>
          </wp:inline>
        </w:drawing>
      </w:r>
    </w:p>
    <w:p>
      <w:pPr>
        <w:jc w:val="center"/>
      </w:pPr>
      <w:r>
        <w:rPr>
          <w:rFonts w:hint="eastAsia" w:ascii="楷体" w:hAnsi="楷体" w:eastAsia="楷体" w:cs="楷体"/>
        </w:rPr>
        <w:t>图为迅达（中国）有限公司校企合作总监兼我院电梯工程学院院长对新生进行专业剖析</w:t>
      </w:r>
    </w:p>
    <w:p>
      <w:pPr>
        <w:spacing w:line="520" w:lineRule="exact"/>
        <w:rPr>
          <w:rFonts w:ascii="仿宋_GB2312" w:eastAsia="仿宋_GB2312"/>
          <w:b/>
          <w:bCs/>
          <w:sz w:val="28"/>
          <w:szCs w:val="28"/>
        </w:rPr>
      </w:pPr>
      <w:bookmarkStart w:id="134" w:name="_Toc17825"/>
      <w:bookmarkStart w:id="135" w:name="_Toc13261"/>
      <w:bookmarkStart w:id="136" w:name="_Toc3493"/>
      <w:bookmarkStart w:id="137" w:name="_Toc17875"/>
      <w:bookmarkStart w:id="138" w:name="_Toc7947"/>
      <w:bookmarkStart w:id="139" w:name="_Toc17401"/>
      <w:bookmarkStart w:id="140" w:name="_Toc15641"/>
      <w:r>
        <w:rPr>
          <w:rFonts w:hint="eastAsia" w:ascii="仿宋_GB2312" w:eastAsia="仿宋_GB2312"/>
          <w:b/>
          <w:bCs/>
          <w:sz w:val="28"/>
          <w:szCs w:val="28"/>
        </w:rPr>
        <w:t>3.6课程（教学资源）建设</w:t>
      </w:r>
      <w:bookmarkEnd w:id="134"/>
      <w:bookmarkEnd w:id="135"/>
      <w:bookmarkEnd w:id="136"/>
      <w:bookmarkEnd w:id="137"/>
      <w:bookmarkEnd w:id="138"/>
      <w:bookmarkEnd w:id="139"/>
      <w:bookmarkEnd w:id="140"/>
    </w:p>
    <w:p>
      <w:pPr>
        <w:spacing w:line="520" w:lineRule="exact"/>
        <w:ind w:firstLine="562" w:firstLineChars="200"/>
        <w:rPr>
          <w:rFonts w:ascii="仿宋_GB2312" w:eastAsia="仿宋_GB2312"/>
          <w:b/>
          <w:bCs/>
          <w:sz w:val="28"/>
          <w:szCs w:val="28"/>
        </w:rPr>
      </w:pPr>
      <w:r>
        <w:rPr>
          <w:rFonts w:hint="eastAsia" w:ascii="仿宋_GB2312" w:eastAsia="仿宋_GB2312"/>
          <w:b/>
          <w:bCs/>
          <w:sz w:val="28"/>
          <w:szCs w:val="28"/>
        </w:rPr>
        <w:t>（1）深化教学改革，课程建设促进教学质量的提高</w:t>
      </w:r>
    </w:p>
    <w:p>
      <w:pPr>
        <w:spacing w:line="520" w:lineRule="exact"/>
        <w:ind w:firstLine="560" w:firstLineChars="200"/>
        <w:rPr>
          <w:rFonts w:ascii="仿宋_GB2312" w:eastAsia="仿宋_GB2312"/>
          <w:sz w:val="28"/>
          <w:szCs w:val="28"/>
        </w:rPr>
      </w:pPr>
      <w:r>
        <w:rPr>
          <w:rFonts w:hint="eastAsia" w:ascii="仿宋_GB2312" w:eastAsia="仿宋_GB2312"/>
          <w:sz w:val="28"/>
          <w:szCs w:val="28"/>
        </w:rPr>
        <w:t>学院坚持把课程建设作为提高教学质量和办学水平的一项基础工程建设，</w:t>
      </w:r>
      <w:r>
        <w:rPr>
          <w:rFonts w:hint="eastAsia" w:ascii="仿宋_GB2312" w:eastAsia="仿宋_GB2312"/>
          <w:sz w:val="28"/>
          <w:szCs w:val="28"/>
          <w:lang w:val="zh-CN"/>
        </w:rPr>
        <w:t>严格执行《邵阳职业技术学院课程建设评价实施方案》、《关于编制课程标准的指导性意见》、《关于编写课程教学设计方案的指导性意见》等指导性文件，进一步规范课程建设标准，注重课程一体化教学设计，以课程评价为抓手，狠抓课程教学资源建设，有力的推进了专业及专业群建设，提升了教师的课程建设水平，课堂教学质量不断得到提高。优质课程建设推进迅速 ，建设成效明显。 通过三年的课程建设与评价，目前全院共建有院级A等优质课程51门，占全部课程的</w:t>
      </w:r>
      <w:r>
        <w:rPr>
          <w:rFonts w:hint="eastAsia" w:ascii="仿宋_GB2312" w:eastAsia="仿宋_GB2312"/>
          <w:sz w:val="28"/>
          <w:szCs w:val="28"/>
        </w:rPr>
        <w:t>12.88%。</w:t>
      </w:r>
    </w:p>
    <w:p>
      <w:pPr>
        <w:spacing w:line="360" w:lineRule="auto"/>
        <w:rPr>
          <w:rFonts w:ascii="楷体" w:hAnsi="楷体" w:eastAsia="楷体" w:cs="楷体"/>
          <w:b/>
          <w:bCs/>
          <w:sz w:val="28"/>
          <w:szCs w:val="28"/>
        </w:rPr>
      </w:pPr>
      <w:r>
        <w:rPr>
          <w:rFonts w:hint="eastAsia" w:ascii="楷体" w:hAnsi="楷体" w:eastAsia="楷体" w:cs="楷体"/>
          <w:b/>
          <w:bCs/>
          <w:sz w:val="28"/>
          <w:szCs w:val="28"/>
        </w:rPr>
        <w:t>案例3：</w:t>
      </w:r>
    </w:p>
    <w:p>
      <w:pPr>
        <w:spacing w:line="360" w:lineRule="auto"/>
        <w:jc w:val="center"/>
        <w:rPr>
          <w:rFonts w:ascii="楷体" w:hAnsi="楷体" w:eastAsia="楷体" w:cs="楷体"/>
          <w:b/>
          <w:bCs/>
          <w:sz w:val="24"/>
          <w:szCs w:val="24"/>
        </w:rPr>
      </w:pPr>
      <w:r>
        <w:rPr>
          <w:rFonts w:hint="eastAsia" w:ascii="楷体" w:hAnsi="楷体" w:eastAsia="楷体" w:cs="楷体"/>
          <w:b/>
          <w:bCs/>
          <w:sz w:val="24"/>
          <w:szCs w:val="24"/>
        </w:rPr>
        <w:t>“业务实战型”教学模式改革成效显著</w:t>
      </w:r>
    </w:p>
    <w:p>
      <w:pPr>
        <w:spacing w:line="400" w:lineRule="exact"/>
        <w:ind w:firstLine="480" w:firstLineChars="200"/>
        <w:rPr>
          <w:rFonts w:ascii="楷体" w:hAnsi="楷体" w:eastAsia="楷体" w:cs="楷体"/>
          <w:sz w:val="24"/>
          <w:szCs w:val="24"/>
        </w:rPr>
      </w:pPr>
      <w:r>
        <w:rPr>
          <w:rFonts w:hint="eastAsia" w:ascii="楷体" w:hAnsi="楷体" w:eastAsia="楷体" w:cs="楷体"/>
          <w:sz w:val="24"/>
          <w:szCs w:val="24"/>
          <w:lang w:eastAsia="zh-CN"/>
        </w:rPr>
        <w:t>信息技术与创意系</w:t>
      </w:r>
      <w:r>
        <w:rPr>
          <w:rFonts w:hint="eastAsia" w:ascii="楷体" w:hAnsi="楷体" w:eastAsia="楷体" w:cs="楷体"/>
          <w:sz w:val="24"/>
          <w:szCs w:val="24"/>
        </w:rPr>
        <w:t>广告设计与制作</w:t>
      </w:r>
      <w:r>
        <w:rPr>
          <w:rFonts w:hint="eastAsia" w:ascii="楷体" w:hAnsi="楷体" w:eastAsia="楷体" w:cs="楷体"/>
          <w:sz w:val="24"/>
          <w:szCs w:val="24"/>
          <w:lang w:eastAsia="zh-CN"/>
        </w:rPr>
        <w:t>专业</w:t>
      </w:r>
      <w:r>
        <w:rPr>
          <w:rFonts w:hint="eastAsia" w:ascii="楷体" w:hAnsi="楷体" w:eastAsia="楷体" w:cs="楷体"/>
          <w:sz w:val="24"/>
          <w:szCs w:val="24"/>
        </w:rPr>
        <w:t>教研室依托企业资源，分析、论证专业发展动态和人才需求变化；结合人才成长规律，以综合职业能力培养为目标，以典型项目任务为载体，以学生为中心，按照典型工作任务和工作过程设计开发课程体系和内容；实施“业务实战型”教学模式，从企业接单，安排学生在真实工作任务背景下进行工作实践。</w:t>
      </w:r>
    </w:p>
    <w:p>
      <w:pPr>
        <w:spacing w:line="400" w:lineRule="exact"/>
        <w:ind w:firstLine="480" w:firstLineChars="200"/>
        <w:jc w:val="left"/>
        <w:rPr>
          <w:rFonts w:ascii="楷体" w:hAnsi="楷体" w:eastAsia="楷体" w:cs="楷体"/>
          <w:sz w:val="24"/>
          <w:szCs w:val="24"/>
        </w:rPr>
      </w:pPr>
      <w:r>
        <w:rPr>
          <w:rFonts w:hint="eastAsia" w:ascii="楷体" w:hAnsi="楷体" w:eastAsia="楷体" w:cs="楷体"/>
          <w:sz w:val="24"/>
          <w:szCs w:val="24"/>
        </w:rPr>
        <w:t>该教学模式极大地提高了教育教学质量，效果显著。师生在各项省级比赛中，成绩斐然，获湖南省信息化教学比赛网络课程项目二等奖2次，全国大学生广告艺术竞赛三等奖1项，2015年、2016、2017年连续三年获湖南省大学生广告艺术竞赛一等奖各1项，二等奖7项，三等奖10项，优胜奖9项。</w:t>
      </w:r>
    </w:p>
    <w:p>
      <w:pPr>
        <w:spacing w:line="400" w:lineRule="exact"/>
        <w:ind w:firstLine="480" w:firstLineChars="200"/>
        <w:rPr>
          <w:rFonts w:ascii="楷体" w:hAnsi="楷体" w:eastAsia="楷体" w:cs="楷体"/>
          <w:sz w:val="24"/>
          <w:szCs w:val="24"/>
        </w:rPr>
      </w:pPr>
      <w:r>
        <w:rPr>
          <w:rFonts w:hint="eastAsia" w:ascii="楷体" w:hAnsi="楷体" w:eastAsia="楷体" w:cs="楷体"/>
          <w:sz w:val="24"/>
          <w:szCs w:val="24"/>
        </w:rPr>
        <w:t>2017年该教研室师生完成了湖南瑞柏茶油有限公司、东莞市鸿都建筑材料有限公司、深圳市捷派新材料科技有限公司、深圳威仕曼科技有限公司、哈博幼教集团、深圳稻市谷装饰设计工程有限公司、怀化湘龙建材有限公司、金百汇商业街、邵阳湘运集团、上海麒艺数码摄影公司等公司品牌形象设计及网络推广等数十个项目，得到了合作企业一致好评，取得了良好的经济效益和社会效益。2016、2017届广告设计与制作专业学生就业形势可喜，大部分学生还未毕业就被广告设计公司签约，学生深受用人单位欢迎。</w:t>
      </w:r>
    </w:p>
    <w:p>
      <w:pPr>
        <w:spacing w:line="360" w:lineRule="auto"/>
        <w:jc w:val="left"/>
        <w:rPr>
          <w:rFonts w:ascii="楷体" w:hAnsi="楷体" w:eastAsia="楷体" w:cs="楷体"/>
          <w:sz w:val="24"/>
          <w:szCs w:val="24"/>
          <w:lang w:val="zh-CN"/>
        </w:rPr>
      </w:pPr>
      <w:r>
        <w:rPr>
          <w:rFonts w:hint="eastAsia" w:ascii="楷体" w:hAnsi="楷体" w:eastAsia="楷体" w:cs="楷体"/>
          <w:sz w:val="24"/>
          <w:szCs w:val="24"/>
        </w:rPr>
        <w:drawing>
          <wp:inline distT="0" distB="0" distL="114300" distR="114300">
            <wp:extent cx="2596515" cy="1838325"/>
            <wp:effectExtent l="0" t="0" r="13335" b="9525"/>
            <wp:docPr id="19" name="图片 19" descr="柠爱基本部分目录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柠爱基本部分目录B"/>
                    <pic:cNvPicPr>
                      <a:picLocks noChangeAspect="1"/>
                    </pic:cNvPicPr>
                  </pic:nvPicPr>
                  <pic:blipFill>
                    <a:blip r:embed="rId45"/>
                    <a:stretch>
                      <a:fillRect/>
                    </a:stretch>
                  </pic:blipFill>
                  <pic:spPr>
                    <a:xfrm>
                      <a:off x="0" y="0"/>
                      <a:ext cx="2596515" cy="1838325"/>
                    </a:xfrm>
                    <a:prstGeom prst="rect">
                      <a:avLst/>
                    </a:prstGeom>
                  </pic:spPr>
                </pic:pic>
              </a:graphicData>
            </a:graphic>
          </wp:inline>
        </w:drawing>
      </w:r>
      <w:r>
        <w:rPr>
          <w:rFonts w:hint="eastAsia" w:ascii="楷体" w:hAnsi="楷体" w:eastAsia="楷体" w:cs="楷体"/>
          <w:sz w:val="24"/>
          <w:szCs w:val="24"/>
        </w:rPr>
        <w:drawing>
          <wp:inline distT="0" distB="0" distL="114300" distR="114300">
            <wp:extent cx="2569210" cy="1817370"/>
            <wp:effectExtent l="0" t="0" r="2540" b="11430"/>
            <wp:docPr id="22" name="图片 22" descr="柠爱C-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柠爱C-05"/>
                    <pic:cNvPicPr>
                      <a:picLocks noChangeAspect="1"/>
                    </pic:cNvPicPr>
                  </pic:nvPicPr>
                  <pic:blipFill>
                    <a:blip r:embed="rId46"/>
                    <a:stretch>
                      <a:fillRect/>
                    </a:stretch>
                  </pic:blipFill>
                  <pic:spPr>
                    <a:xfrm>
                      <a:off x="0" y="0"/>
                      <a:ext cx="2569210" cy="1817370"/>
                    </a:xfrm>
                    <a:prstGeom prst="rect">
                      <a:avLst/>
                    </a:prstGeom>
                  </pic:spPr>
                </pic:pic>
              </a:graphicData>
            </a:graphic>
          </wp:inline>
        </w:drawing>
      </w:r>
    </w:p>
    <w:p>
      <w:pPr>
        <w:spacing w:line="520" w:lineRule="exact"/>
        <w:ind w:firstLine="420" w:firstLineChars="200"/>
        <w:jc w:val="center"/>
        <w:rPr>
          <w:rFonts w:ascii="楷体" w:hAnsi="楷体" w:eastAsia="楷体" w:cs="楷体"/>
          <w:lang w:val="zh-CN"/>
        </w:rPr>
      </w:pPr>
      <w:r>
        <w:rPr>
          <w:rFonts w:hint="eastAsia" w:ascii="楷体" w:hAnsi="楷体" w:eastAsia="楷体" w:cs="楷体"/>
          <w:lang w:val="zh-CN"/>
        </w:rPr>
        <w:t>图为广告设计与制作专业学生为企业设计的“柠爱简约</w:t>
      </w:r>
      <w:r>
        <w:rPr>
          <w:rFonts w:hint="eastAsia" w:ascii="楷体" w:hAnsi="楷体" w:eastAsia="楷体" w:cs="楷体"/>
        </w:rPr>
        <w:t>VI设计”作品</w:t>
      </w:r>
    </w:p>
    <w:p>
      <w:pPr>
        <w:spacing w:line="480" w:lineRule="exact"/>
        <w:ind w:left="559" w:leftChars="266"/>
        <w:rPr>
          <w:rFonts w:ascii="仿宋_GB2312" w:eastAsia="仿宋_GB2312"/>
          <w:b/>
          <w:bCs/>
          <w:sz w:val="28"/>
          <w:szCs w:val="28"/>
          <w:lang w:val="zh-CN"/>
        </w:rPr>
      </w:pPr>
      <w:r>
        <w:rPr>
          <w:rFonts w:hint="eastAsia" w:ascii="仿宋_GB2312" w:eastAsia="仿宋_GB2312"/>
          <w:b/>
          <w:bCs/>
          <w:sz w:val="28"/>
          <w:szCs w:val="28"/>
          <w:lang w:val="zh-CN"/>
        </w:rPr>
        <w:t>（</w:t>
      </w:r>
      <w:r>
        <w:rPr>
          <w:rFonts w:hint="eastAsia" w:ascii="仿宋_GB2312" w:eastAsia="仿宋_GB2312"/>
          <w:b/>
          <w:bCs/>
          <w:sz w:val="28"/>
          <w:szCs w:val="28"/>
        </w:rPr>
        <w:t>2）</w:t>
      </w:r>
      <w:r>
        <w:rPr>
          <w:rFonts w:hint="eastAsia" w:ascii="仿宋_GB2312" w:eastAsia="仿宋_GB2312"/>
          <w:b/>
          <w:bCs/>
          <w:sz w:val="28"/>
          <w:szCs w:val="28"/>
          <w:lang w:val="zh-CN"/>
        </w:rPr>
        <w:t>紧跟行业企业发展，专业（群）课程体系进一化得到优化</w:t>
      </w:r>
    </w:p>
    <w:p>
      <w:pPr>
        <w:spacing w:line="480" w:lineRule="exact"/>
        <w:ind w:firstLine="560" w:firstLineChars="200"/>
        <w:rPr>
          <w:rFonts w:ascii="仿宋_GB2312" w:eastAsia="仿宋_GB2312"/>
          <w:sz w:val="28"/>
          <w:szCs w:val="28"/>
        </w:rPr>
      </w:pPr>
      <w:r>
        <w:rPr>
          <w:rFonts w:hint="eastAsia" w:ascii="仿宋_GB2312" w:eastAsia="仿宋_GB2312"/>
          <w:sz w:val="28"/>
          <w:szCs w:val="28"/>
          <w:lang w:val="zh-CN"/>
        </w:rPr>
        <w:t>先进装备制造专业群通过与迅达（中国）电梯有限公司合作，校企共同开发教材，推动教学内容改革，按照企业真实的技术和装备水平，设计理论、技术和实训课程；推动教学流程改革，依据生产服务的真实业务流程，设计教学空间和课程模块；推动教学方法改革，通过真实案例、真实项目，激发学习者的学习兴趣、探究兴趣和职业兴趣。加强课程标准的内涵建设、对接职业标准、行业标准、技能抽查标准，通过跨区域调研、建立弹性课程体系、与时俱进的课程内容改革，对学院重点建设专业的核心课程制定或修订了课程标准，所有专业推广省级技能抽查标准和测试题库，部分专业根据专业方向制定了自己的抽查标准。</w:t>
      </w:r>
      <w:r>
        <w:rPr>
          <w:rFonts w:hint="eastAsia" w:ascii="仿宋_GB2312" w:eastAsia="仿宋_GB2312"/>
          <w:sz w:val="28"/>
          <w:szCs w:val="28"/>
        </w:rPr>
        <w:t>2017年，校企合作共建课程10门。</w:t>
      </w:r>
    </w:p>
    <w:p>
      <w:pPr>
        <w:spacing w:line="360" w:lineRule="auto"/>
        <w:jc w:val="center"/>
        <w:rPr>
          <w:rFonts w:ascii="楷体" w:hAnsi="楷体" w:eastAsia="楷体" w:cs="楷体"/>
          <w:sz w:val="24"/>
          <w:szCs w:val="24"/>
        </w:rPr>
      </w:pPr>
      <w:r>
        <w:rPr>
          <w:rFonts w:hint="eastAsia"/>
        </w:rPr>
        <w:drawing>
          <wp:inline distT="0" distB="0" distL="114300" distR="114300">
            <wp:extent cx="3720465" cy="2479040"/>
            <wp:effectExtent l="0" t="0" r="13335" b="16510"/>
            <wp:docPr id="18" name="图片 18" descr="20161211161133_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161211161133_2812"/>
                    <pic:cNvPicPr>
                      <a:picLocks noChangeAspect="1"/>
                    </pic:cNvPicPr>
                  </pic:nvPicPr>
                  <pic:blipFill>
                    <a:blip r:embed="rId47" cstate="print"/>
                    <a:stretch>
                      <a:fillRect/>
                    </a:stretch>
                  </pic:blipFill>
                  <pic:spPr>
                    <a:xfrm>
                      <a:off x="0" y="0"/>
                      <a:ext cx="3720465" cy="2479040"/>
                    </a:xfrm>
                    <a:prstGeom prst="rect">
                      <a:avLst/>
                    </a:prstGeom>
                  </pic:spPr>
                </pic:pic>
              </a:graphicData>
            </a:graphic>
          </wp:inline>
        </w:drawing>
      </w:r>
    </w:p>
    <w:p>
      <w:pPr>
        <w:spacing w:line="360" w:lineRule="auto"/>
        <w:ind w:firstLine="420" w:firstLineChars="200"/>
        <w:jc w:val="center"/>
        <w:rPr>
          <w:rFonts w:ascii="楷体" w:hAnsi="楷体" w:eastAsia="楷体"/>
        </w:rPr>
      </w:pPr>
      <w:r>
        <w:rPr>
          <w:rFonts w:hint="eastAsia" w:ascii="楷体" w:hAnsi="楷体" w:eastAsia="楷体"/>
        </w:rPr>
        <w:t>图为校企专家共同研讨湖南省示范性特色专业群建设项目</w:t>
      </w:r>
    </w:p>
    <w:p>
      <w:pPr>
        <w:spacing w:line="520" w:lineRule="exact"/>
        <w:ind w:firstLine="562" w:firstLineChars="200"/>
        <w:rPr>
          <w:rFonts w:ascii="仿宋_GB2312" w:eastAsia="仿宋_GB2312"/>
          <w:b/>
          <w:bCs/>
          <w:sz w:val="28"/>
          <w:szCs w:val="28"/>
          <w:lang w:val="zh-CN"/>
        </w:rPr>
      </w:pPr>
      <w:r>
        <w:rPr>
          <w:rFonts w:hint="eastAsia" w:ascii="仿宋_GB2312" w:eastAsia="仿宋_GB2312"/>
          <w:b/>
          <w:bCs/>
          <w:sz w:val="28"/>
          <w:szCs w:val="28"/>
          <w:lang w:val="zh-CN"/>
        </w:rPr>
        <w:t>（</w:t>
      </w:r>
      <w:r>
        <w:rPr>
          <w:rFonts w:hint="eastAsia" w:ascii="仿宋_GB2312" w:eastAsia="仿宋_GB2312"/>
          <w:b/>
          <w:bCs/>
          <w:sz w:val="28"/>
          <w:szCs w:val="28"/>
        </w:rPr>
        <w:t>3）</w:t>
      </w:r>
      <w:r>
        <w:rPr>
          <w:rFonts w:hint="eastAsia" w:ascii="仿宋_GB2312" w:eastAsia="仿宋_GB2312"/>
          <w:b/>
          <w:bCs/>
          <w:sz w:val="28"/>
          <w:szCs w:val="28"/>
          <w:lang w:val="zh-CN"/>
        </w:rPr>
        <w:t>切实加强人文素质教育，提高人才培养质量</w:t>
      </w:r>
    </w:p>
    <w:p>
      <w:pPr>
        <w:spacing w:line="520" w:lineRule="exact"/>
        <w:ind w:firstLine="560" w:firstLineChars="200"/>
        <w:rPr>
          <w:rFonts w:ascii="仿宋_GB2312" w:eastAsia="仿宋_GB2312"/>
          <w:sz w:val="28"/>
          <w:szCs w:val="28"/>
          <w:lang w:val="zh-CN"/>
        </w:rPr>
      </w:pPr>
      <w:r>
        <w:rPr>
          <w:rFonts w:hint="eastAsia" w:ascii="仿宋_GB2312" w:eastAsia="仿宋_GB2312"/>
          <w:sz w:val="28"/>
          <w:szCs w:val="28"/>
          <w:lang w:val="zh-CN"/>
        </w:rPr>
        <w:t>通过人文素质课程建设，构建人文素质课程体系，帮助学生提高自身的文化品位、审美情趣和人文素养，同时能够树立正确的人生观和价值观，增强对国家、对社会的责任感和使命感。优化课程结构，将人文素质课程纳入人才培养方案，增加人文素质课程开设比例，精选部分人文素质课程作为必修课面向各专业学生开设，重视人文素质课程教师队伍建设，选派在相关课程领域具有一定建树的具有高级职称的教师担任主讲，鼓励教师进行教学手段和教学方法改革，提倡启发式、讨论式等生动活泼的教学方法，增强人文教育课程的趣味性和吸引力。</w:t>
      </w:r>
      <w:r>
        <w:rPr>
          <w:rFonts w:hint="eastAsia" w:ascii="仿宋_GB2312" w:eastAsia="仿宋_GB2312"/>
          <w:sz w:val="28"/>
          <w:szCs w:val="28"/>
        </w:rPr>
        <w:t>2016级、2017级人才培养方案中，明确要求开设</w:t>
      </w:r>
      <w:r>
        <w:rPr>
          <w:rFonts w:hint="eastAsia" w:ascii="仿宋_GB2312" w:eastAsia="仿宋_GB2312"/>
          <w:sz w:val="28"/>
          <w:szCs w:val="28"/>
          <w:lang w:val="zh-CN"/>
        </w:rPr>
        <w:t>剪纸艺术、书法、音乐、舞蹈等人文素质文化选修课程，周课时</w:t>
      </w:r>
      <w:r>
        <w:rPr>
          <w:rFonts w:hint="eastAsia" w:ascii="仿宋_GB2312" w:eastAsia="仿宋_GB2312"/>
          <w:sz w:val="28"/>
          <w:szCs w:val="28"/>
          <w:lang w:val="en-US" w:eastAsia="zh-CN"/>
        </w:rPr>
        <w:t>2节。</w:t>
      </w:r>
      <w:r>
        <w:rPr>
          <w:rFonts w:hint="eastAsia" w:ascii="仿宋_GB2312" w:eastAsia="仿宋_GB2312"/>
          <w:sz w:val="28"/>
          <w:szCs w:val="28"/>
          <w:lang w:val="zh-CN"/>
        </w:rPr>
        <w:t>每学期举办心理健康教育、艾滋病专题教育等专题讲座，开展形式多样的报告会、社会实践、知识竞赛、文艺汇演、课外阅读等丰富多彩的课外活动。</w:t>
      </w:r>
    </w:p>
    <w:p>
      <w:pPr>
        <w:spacing w:line="520" w:lineRule="exact"/>
        <w:ind w:firstLine="562" w:firstLineChars="200"/>
        <w:rPr>
          <w:rFonts w:ascii="仿宋_GB2312" w:eastAsia="仿宋_GB2312"/>
          <w:sz w:val="28"/>
          <w:szCs w:val="28"/>
        </w:rPr>
      </w:pPr>
      <w:r>
        <w:rPr>
          <w:rFonts w:hint="eastAsia" w:ascii="仿宋_GB2312" w:eastAsia="仿宋_GB2312"/>
          <w:b/>
          <w:bCs/>
          <w:sz w:val="28"/>
          <w:szCs w:val="28"/>
        </w:rPr>
        <w:t>（4）精心组织网络共享课程建设，完善专业教学资源库</w:t>
      </w:r>
    </w:p>
    <w:p>
      <w:pPr>
        <w:spacing w:line="520" w:lineRule="exact"/>
        <w:ind w:firstLine="560" w:firstLineChars="200"/>
        <w:rPr>
          <w:rFonts w:ascii="仿宋_GB2312" w:hAnsi="仿宋_GB2312" w:eastAsia="仿宋_GB2312" w:cs="仿宋_GB2312"/>
          <w:b/>
          <w:bCs/>
          <w:sz w:val="28"/>
          <w:szCs w:val="28"/>
        </w:rPr>
      </w:pPr>
      <w:r>
        <w:rPr>
          <w:rFonts w:hint="eastAsia" w:ascii="仿宋_GB2312" w:eastAsia="仿宋_GB2312"/>
          <w:sz w:val="28"/>
          <w:szCs w:val="28"/>
        </w:rPr>
        <w:t>学院依托大学城空间，鼓励教师大力开展“名师空间课堂”应用，推动优质教育资源的共建共享。2017年，学院已建成空间网络共享课程95门，专业教学资源库已日臻完善。针对大学生文化素质教育课、受众面广的公共课和专业核心课程，建设适合网络传播和教学活动的内容质量高、教学效果好的在线开放课程，启动了院级在线开放课程建设，计划到2019年建成6-7门院级在线精品开放课程。鼓励建设成果突出的课程继续建设，并优先推荐参加省级、国家级精品在线开放课程的申报。</w:t>
      </w:r>
    </w:p>
    <w:p>
      <w:pPr>
        <w:spacing w:line="520" w:lineRule="exact"/>
        <w:rPr>
          <w:rFonts w:ascii="仿宋_GB2312" w:hAnsi="仿宋_GB2312" w:eastAsia="仿宋_GB2312" w:cs="仿宋_GB2312"/>
          <w:b/>
          <w:bCs/>
          <w:sz w:val="32"/>
          <w:szCs w:val="32"/>
        </w:rPr>
      </w:pPr>
      <w:bookmarkStart w:id="141" w:name="_Toc26360"/>
      <w:bookmarkStart w:id="142" w:name="_Toc1364"/>
      <w:bookmarkStart w:id="143" w:name="_Toc29790"/>
      <w:bookmarkStart w:id="144" w:name="_Toc21607"/>
      <w:bookmarkStart w:id="145" w:name="_Toc16664"/>
      <w:bookmarkStart w:id="146" w:name="_Toc7406"/>
      <w:bookmarkStart w:id="147" w:name="_Toc22697"/>
      <w:r>
        <w:rPr>
          <w:rFonts w:hint="eastAsia" w:ascii="仿宋_GB2312" w:hAnsi="仿宋_GB2312" w:eastAsia="仿宋_GB2312" w:cs="仿宋_GB2312"/>
          <w:b/>
          <w:bCs/>
          <w:sz w:val="32"/>
          <w:szCs w:val="32"/>
        </w:rPr>
        <w:t>3.7信息化教学</w:t>
      </w:r>
      <w:bookmarkEnd w:id="141"/>
      <w:bookmarkEnd w:id="142"/>
      <w:bookmarkEnd w:id="143"/>
      <w:bookmarkEnd w:id="144"/>
      <w:bookmarkEnd w:id="145"/>
      <w:bookmarkEnd w:id="146"/>
      <w:bookmarkEnd w:id="147"/>
    </w:p>
    <w:p>
      <w:pPr>
        <w:spacing w:line="520" w:lineRule="exact"/>
        <w:ind w:firstLine="562" w:firstLineChars="200"/>
        <w:rPr>
          <w:rFonts w:ascii="仿宋_GB2312" w:eastAsia="仿宋_GB2312"/>
          <w:b/>
          <w:bCs/>
          <w:sz w:val="28"/>
          <w:szCs w:val="28"/>
          <w:lang w:val="zh-CN"/>
        </w:rPr>
      </w:pPr>
      <w:r>
        <w:rPr>
          <w:rFonts w:hint="eastAsia" w:ascii="仿宋_GB2312" w:eastAsia="仿宋_GB2312"/>
          <w:b/>
          <w:bCs/>
          <w:sz w:val="28"/>
          <w:szCs w:val="28"/>
          <w:lang w:val="zh-CN"/>
        </w:rPr>
        <w:t>（</w:t>
      </w:r>
      <w:r>
        <w:rPr>
          <w:rFonts w:hint="eastAsia" w:ascii="仿宋_GB2312" w:eastAsia="仿宋_GB2312"/>
          <w:b/>
          <w:bCs/>
          <w:sz w:val="28"/>
          <w:szCs w:val="28"/>
        </w:rPr>
        <w:t>1）</w:t>
      </w:r>
      <w:r>
        <w:rPr>
          <w:rFonts w:hint="eastAsia" w:ascii="仿宋_GB2312" w:eastAsia="仿宋_GB2312"/>
          <w:b/>
          <w:bCs/>
          <w:sz w:val="28"/>
          <w:szCs w:val="28"/>
          <w:lang w:val="zh-CN"/>
        </w:rPr>
        <w:t>加快管理服务平台建设与应用，深化教育教学模式创新</w:t>
      </w:r>
    </w:p>
    <w:p>
      <w:pPr>
        <w:spacing w:line="520" w:lineRule="exact"/>
        <w:ind w:firstLine="560" w:firstLineChars="200"/>
        <w:rPr>
          <w:rFonts w:ascii="仿宋_GB2312" w:eastAsia="仿宋_GB2312"/>
          <w:sz w:val="28"/>
          <w:szCs w:val="28"/>
          <w:lang w:val="zh-CN"/>
        </w:rPr>
      </w:pPr>
      <w:r>
        <w:rPr>
          <w:rFonts w:hint="eastAsia" w:ascii="仿宋_GB2312" w:eastAsia="仿宋_GB2312"/>
          <w:sz w:val="28"/>
          <w:szCs w:val="28"/>
          <w:lang w:val="zh-CN"/>
        </w:rPr>
        <w:t>学院将教育信息化建设纳入学院的“十三五”发展规划，制定了《学院信息化建设三年规划与建设方案》，为全面实现学院教育教学信息化提供了平台保障和服务。不断加强教育信息化基础设施投入，2017年进行了校园网提质改造，投入资金500万元，基本建成了覆盖全院的有线与无线网络。不断提升职业教育信息化基础能力，推动优质数字教育资源共建共享，提升师生和管理者信息素养，增强网络与信息安全管控能力。同时，通过邀请信息化教学领域知名专家与信息化获奖教师到校开设讲座、将多种信息化手段引入教学，突出强化教师的信息化教学设计能力、信息化课堂教学能力和信息化实训教学能力。</w:t>
      </w:r>
    </w:p>
    <w:p>
      <w:pPr>
        <w:spacing w:line="520" w:lineRule="exact"/>
        <w:ind w:firstLine="562" w:firstLineChars="200"/>
        <w:rPr>
          <w:rFonts w:ascii="仿宋_GB2312" w:eastAsia="仿宋_GB2312"/>
          <w:b/>
          <w:bCs/>
          <w:sz w:val="28"/>
          <w:szCs w:val="28"/>
          <w:lang w:val="zh-CN"/>
        </w:rPr>
      </w:pPr>
      <w:r>
        <w:rPr>
          <w:rFonts w:hint="eastAsia" w:ascii="仿宋_GB2312" w:eastAsia="仿宋_GB2312"/>
          <w:b/>
          <w:bCs/>
          <w:sz w:val="28"/>
          <w:szCs w:val="28"/>
          <w:lang w:val="zh-CN"/>
        </w:rPr>
        <w:t>（</w:t>
      </w:r>
      <w:r>
        <w:rPr>
          <w:rFonts w:hint="eastAsia" w:ascii="仿宋_GB2312" w:eastAsia="仿宋_GB2312"/>
          <w:b/>
          <w:bCs/>
          <w:sz w:val="28"/>
          <w:szCs w:val="28"/>
        </w:rPr>
        <w:t>2）</w:t>
      </w:r>
      <w:r>
        <w:rPr>
          <w:rFonts w:hint="eastAsia" w:ascii="仿宋_GB2312" w:eastAsia="仿宋_GB2312"/>
          <w:b/>
          <w:bCs/>
          <w:sz w:val="28"/>
          <w:szCs w:val="28"/>
          <w:lang w:val="zh-CN"/>
        </w:rPr>
        <w:t>依托大学城空间平台，教师信息化教学水平显著提高</w:t>
      </w:r>
    </w:p>
    <w:p>
      <w:pPr>
        <w:spacing w:line="520" w:lineRule="exact"/>
        <w:ind w:firstLine="560" w:firstLineChars="200"/>
        <w:rPr>
          <w:rFonts w:ascii="仿宋_GB2312" w:eastAsia="仿宋_GB2312"/>
          <w:sz w:val="28"/>
          <w:szCs w:val="28"/>
        </w:rPr>
      </w:pPr>
      <w:r>
        <w:rPr>
          <w:rFonts w:hint="eastAsia" w:ascii="仿宋_GB2312" w:eastAsia="仿宋_GB2312"/>
          <w:sz w:val="28"/>
          <w:szCs w:val="28"/>
          <w:lang w:val="zh-CN"/>
        </w:rPr>
        <w:t>学院极为重视信息化教学，每年都开展培训，今年组织</w:t>
      </w:r>
      <w:r>
        <w:rPr>
          <w:rFonts w:hint="eastAsia" w:ascii="仿宋_GB2312" w:eastAsia="仿宋_GB2312"/>
          <w:sz w:val="28"/>
          <w:szCs w:val="28"/>
        </w:rPr>
        <w:t>1次全院性的微课培训，45岁以下年轻教师全部参加。每年都组织</w:t>
      </w:r>
      <w:r>
        <w:rPr>
          <w:rFonts w:hint="eastAsia" w:ascii="仿宋_GB2312" w:eastAsia="仿宋_GB2312"/>
          <w:sz w:val="28"/>
          <w:szCs w:val="28"/>
          <w:lang w:val="zh-CN"/>
        </w:rPr>
        <w:t>教师参加国家、省信息化教学大赛，对获奖选手予以奖励，通过这些措施，充分调动了教师运用信息化手段教学的积极性，提升了信息化教学能力，学院</w:t>
      </w:r>
      <w:r>
        <w:rPr>
          <w:rFonts w:hint="eastAsia" w:ascii="仿宋_GB2312" w:eastAsia="仿宋_GB2312"/>
          <w:sz w:val="28"/>
          <w:szCs w:val="28"/>
        </w:rPr>
        <w:t>45岁以下年轻</w:t>
      </w:r>
      <w:r>
        <w:rPr>
          <w:rFonts w:hint="eastAsia" w:ascii="仿宋_GB2312" w:eastAsia="仿宋_GB2312"/>
          <w:sz w:val="28"/>
          <w:szCs w:val="28"/>
          <w:lang w:val="zh-CN"/>
        </w:rPr>
        <w:t>教师能够运用信息化技术手段组织教学，教师的信息化教学能力较高。2017年，教师在省级以上信息化教学竞赛中，共取得三等奖以上</w:t>
      </w:r>
      <w:r>
        <w:rPr>
          <w:rFonts w:hint="eastAsia" w:ascii="仿宋_GB2312" w:eastAsia="仿宋_GB2312"/>
          <w:sz w:val="28"/>
          <w:szCs w:val="28"/>
        </w:rPr>
        <w:t>8项，其中</w:t>
      </w:r>
      <w:r>
        <w:rPr>
          <w:rFonts w:hint="eastAsia" w:ascii="仿宋_GB2312" w:eastAsia="仿宋_GB2312"/>
          <w:sz w:val="28"/>
          <w:szCs w:val="28"/>
          <w:lang w:val="zh-CN"/>
        </w:rPr>
        <w:t>刘友成副教授的微课作品《物体的三视图》荣获首届全国机械行业职业院校微课大赛”高职组一等奖；在湖南省举办的第二届微课大赛中，共获奖</w:t>
      </w:r>
      <w:r>
        <w:rPr>
          <w:rFonts w:hint="eastAsia" w:ascii="仿宋_GB2312" w:eastAsia="仿宋_GB2312"/>
          <w:sz w:val="28"/>
          <w:szCs w:val="28"/>
        </w:rPr>
        <w:t>4项，其中</w:t>
      </w:r>
      <w:r>
        <w:rPr>
          <w:rFonts w:hint="eastAsia" w:ascii="仿宋_GB2312" w:eastAsia="仿宋_GB2312"/>
          <w:sz w:val="28"/>
          <w:szCs w:val="28"/>
          <w:lang w:val="zh-CN"/>
        </w:rPr>
        <w:t>一等奖</w:t>
      </w:r>
      <w:r>
        <w:rPr>
          <w:rFonts w:hint="eastAsia" w:ascii="仿宋_GB2312" w:eastAsia="仿宋_GB2312"/>
          <w:sz w:val="28"/>
          <w:szCs w:val="28"/>
        </w:rPr>
        <w:t>2</w:t>
      </w:r>
      <w:r>
        <w:rPr>
          <w:rFonts w:hint="eastAsia" w:ascii="仿宋_GB2312" w:eastAsia="仿宋_GB2312"/>
          <w:sz w:val="28"/>
          <w:szCs w:val="28"/>
          <w:lang w:val="zh-CN"/>
        </w:rPr>
        <w:t>项；在湖南省职业院校信息化教学大赛中，获得三等奖3项；举办了邵阳职业技术学院微课大赛，教师们踊跃参赛，18个微课作品获奖。</w:t>
      </w:r>
    </w:p>
    <w:p>
      <w:pPr>
        <w:spacing w:line="520" w:lineRule="exact"/>
        <w:ind w:firstLine="560" w:firstLineChars="200"/>
        <w:rPr>
          <w:rFonts w:ascii="仿宋_GB2312" w:eastAsia="仿宋_GB2312"/>
          <w:sz w:val="28"/>
          <w:szCs w:val="28"/>
          <w:lang w:val="zh-CN"/>
        </w:rPr>
      </w:pPr>
      <w:r>
        <w:rPr>
          <w:rFonts w:hint="eastAsia" w:ascii="仿宋_GB2312" w:eastAsia="仿宋_GB2312"/>
          <w:sz w:val="28"/>
          <w:szCs w:val="28"/>
          <w:lang w:val="zh-CN"/>
        </w:rPr>
        <w:t>现建有150门课程完整的空间教学资源，95位教师教学空间被评为优秀教学空间。近3年来，成功立项</w:t>
      </w:r>
      <w:r>
        <w:rPr>
          <w:rFonts w:hint="eastAsia" w:ascii="仿宋_GB2312" w:eastAsia="仿宋_GB2312"/>
          <w:sz w:val="28"/>
          <w:szCs w:val="28"/>
          <w:lang w:val="zh-CN" w:eastAsia="zh-CN"/>
        </w:rPr>
        <w:t>了</w:t>
      </w:r>
      <w:r>
        <w:rPr>
          <w:rFonts w:hint="eastAsia" w:ascii="仿宋_GB2312" w:eastAsia="仿宋_GB2312"/>
          <w:sz w:val="28"/>
          <w:szCs w:val="28"/>
          <w:lang w:val="en-US" w:eastAsia="zh-CN"/>
        </w:rPr>
        <w:t>3门</w:t>
      </w:r>
      <w:r>
        <w:rPr>
          <w:rFonts w:hint="eastAsia" w:ascii="仿宋_GB2312" w:eastAsia="仿宋_GB2312"/>
          <w:sz w:val="28"/>
          <w:szCs w:val="28"/>
          <w:lang w:val="zh-CN"/>
        </w:rPr>
        <w:t>湖南省职业教育名师空间，其中1个已通过验收，2个正在省厅接受验收。在国家教育部中央电化教育馆组织开展的“一生一空间、生生有特色”职业院校优秀网络学习空间评比中获三等奖3项，优秀奖2项，其中2名教师的空间被评为特色空间。</w:t>
      </w:r>
    </w:p>
    <w:p>
      <w:pPr>
        <w:jc w:val="center"/>
        <w:rPr>
          <w:rFonts w:ascii="仿宋_GB2312" w:eastAsia="仿宋_GB2312"/>
          <w:sz w:val="28"/>
          <w:szCs w:val="28"/>
          <w:lang w:val="zh-CN"/>
        </w:rPr>
      </w:pPr>
      <w:r>
        <w:rPr>
          <w:rFonts w:hint="eastAsia" w:ascii="仿宋_GB2312" w:eastAsia="仿宋_GB2312"/>
          <w:sz w:val="28"/>
          <w:szCs w:val="28"/>
        </w:rPr>
        <w:drawing>
          <wp:inline distT="0" distB="0" distL="114300" distR="114300">
            <wp:extent cx="2537460" cy="1469390"/>
            <wp:effectExtent l="0" t="0" r="15240" b="16510"/>
            <wp:docPr id="23" name="图片 23" descr="刘一兵空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刘一兵空间"/>
                    <pic:cNvPicPr>
                      <a:picLocks noChangeAspect="1"/>
                    </pic:cNvPicPr>
                  </pic:nvPicPr>
                  <pic:blipFill>
                    <a:blip r:embed="rId48"/>
                    <a:stretch>
                      <a:fillRect/>
                    </a:stretch>
                  </pic:blipFill>
                  <pic:spPr>
                    <a:xfrm>
                      <a:off x="0" y="0"/>
                      <a:ext cx="2537460" cy="1469390"/>
                    </a:xfrm>
                    <a:prstGeom prst="rect">
                      <a:avLst/>
                    </a:prstGeom>
                  </pic:spPr>
                </pic:pic>
              </a:graphicData>
            </a:graphic>
          </wp:inline>
        </w:drawing>
      </w:r>
      <w:r>
        <w:rPr>
          <w:rFonts w:hint="eastAsia" w:ascii="仿宋_GB2312" w:eastAsia="仿宋_GB2312"/>
          <w:sz w:val="28"/>
          <w:szCs w:val="28"/>
        </w:rPr>
        <w:drawing>
          <wp:inline distT="0" distB="0" distL="114300" distR="114300">
            <wp:extent cx="2612390" cy="1480820"/>
            <wp:effectExtent l="0" t="0" r="16510" b="5080"/>
            <wp:docPr id="24" name="图片 24" descr="刘友成空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刘友成空间"/>
                    <pic:cNvPicPr>
                      <a:picLocks noChangeAspect="1"/>
                    </pic:cNvPicPr>
                  </pic:nvPicPr>
                  <pic:blipFill>
                    <a:blip r:embed="rId49"/>
                    <a:stretch>
                      <a:fillRect/>
                    </a:stretch>
                  </pic:blipFill>
                  <pic:spPr>
                    <a:xfrm>
                      <a:off x="0" y="0"/>
                      <a:ext cx="2612390" cy="1480820"/>
                    </a:xfrm>
                    <a:prstGeom prst="rect">
                      <a:avLst/>
                    </a:prstGeom>
                  </pic:spPr>
                </pic:pic>
              </a:graphicData>
            </a:graphic>
          </wp:inline>
        </w:drawing>
      </w:r>
    </w:p>
    <w:p>
      <w:pPr>
        <w:spacing w:line="520" w:lineRule="exact"/>
        <w:jc w:val="center"/>
        <w:rPr>
          <w:rFonts w:ascii="楷体" w:hAnsi="楷体" w:eastAsia="楷体" w:cs="楷体"/>
        </w:rPr>
      </w:pPr>
      <w:r>
        <w:rPr>
          <w:rFonts w:hint="eastAsia" w:ascii="楷体" w:hAnsi="楷体" w:eastAsia="楷体" w:cs="楷体"/>
        </w:rPr>
        <w:t>图为两名教师的特色空间</w:t>
      </w:r>
    </w:p>
    <w:p>
      <w:pPr>
        <w:spacing w:line="520" w:lineRule="exact"/>
        <w:rPr>
          <w:rFonts w:ascii="仿宋_GB2312" w:hAnsi="仿宋_GB2312" w:eastAsia="仿宋_GB2312" w:cs="仿宋_GB2312"/>
          <w:b/>
          <w:bCs/>
          <w:sz w:val="28"/>
          <w:szCs w:val="28"/>
        </w:rPr>
      </w:pPr>
      <w:bookmarkStart w:id="148" w:name="_Toc21904"/>
      <w:bookmarkStart w:id="149" w:name="_Toc9747"/>
      <w:bookmarkStart w:id="150" w:name="_Toc25789"/>
      <w:bookmarkStart w:id="151" w:name="_Toc22785"/>
      <w:bookmarkStart w:id="152" w:name="_Toc16231"/>
      <w:bookmarkStart w:id="153" w:name="_Toc18656"/>
      <w:bookmarkStart w:id="154" w:name="_Toc29542"/>
      <w:r>
        <w:rPr>
          <w:rFonts w:hint="eastAsia" w:ascii="仿宋_GB2312" w:hAnsi="仿宋_GB2312" w:eastAsia="仿宋_GB2312" w:cs="仿宋_GB2312"/>
          <w:b/>
          <w:bCs/>
          <w:sz w:val="28"/>
          <w:szCs w:val="28"/>
        </w:rPr>
        <w:t>3.8质量保障措施</w:t>
      </w:r>
      <w:bookmarkEnd w:id="148"/>
      <w:bookmarkEnd w:id="149"/>
      <w:bookmarkEnd w:id="150"/>
      <w:bookmarkEnd w:id="151"/>
      <w:bookmarkEnd w:id="152"/>
      <w:bookmarkEnd w:id="153"/>
      <w:bookmarkEnd w:id="154"/>
    </w:p>
    <w:p>
      <w:pPr>
        <w:spacing w:line="520" w:lineRule="exact"/>
        <w:ind w:firstLine="562" w:firstLineChars="200"/>
        <w:rPr>
          <w:rFonts w:ascii="仿宋_GB2312" w:eastAsia="仿宋_GB2312"/>
          <w:b/>
          <w:bCs/>
          <w:sz w:val="28"/>
          <w:szCs w:val="28"/>
        </w:rPr>
      </w:pPr>
      <w:r>
        <w:rPr>
          <w:rFonts w:hint="eastAsia" w:ascii="仿宋_GB2312" w:eastAsia="仿宋_GB2312"/>
          <w:b/>
          <w:bCs/>
          <w:sz w:val="28"/>
          <w:szCs w:val="28"/>
        </w:rPr>
        <w:t>（1）内部质量保证体系建设与运行工作</w:t>
      </w:r>
    </w:p>
    <w:p>
      <w:pPr>
        <w:spacing w:line="520" w:lineRule="exact"/>
        <w:rPr>
          <w:rFonts w:eastAsia="仿宋_GB2312"/>
          <w:kern w:val="0"/>
          <w:sz w:val="28"/>
          <w:szCs w:val="28"/>
        </w:rPr>
      </w:pPr>
      <w:r>
        <w:rPr>
          <w:rFonts w:hint="eastAsia" w:ascii="仿宋_GB2312" w:eastAsia="仿宋_GB2312"/>
          <w:sz w:val="28"/>
          <w:szCs w:val="28"/>
        </w:rPr>
        <w:t xml:space="preserve">     学院领导高度重视内部质量保证体系建设与诊改工作，制定了《邵阳职业技术学院内部质量保证体系建设与运行方案》，</w:t>
      </w:r>
      <w:r>
        <w:rPr>
          <w:rFonts w:hint="eastAsia" w:eastAsia="仿宋_GB2312"/>
          <w:kern w:val="0"/>
          <w:sz w:val="28"/>
          <w:szCs w:val="28"/>
        </w:rPr>
        <w:t>初步构建起学院质量保证委员会、系（二级学院、部门）质量保证工作组、专业（课程）质量保证小组三级质量保证组织；实行学院质量监控办公室与各部门质控专员专兼职管理相结合；对教育教学全过程、全要素进行质量监控；全院所有部门、所有人员都参与；将各项工作的过程、结果质量纳入绩效考核的较完整系统的质量保证体系和机制。按照教育教学质量诊改要求，学院进一步优化组织结构，完成了机构改革和人员“三定”，正在进行各项规划、工作目标和工作标准的修订。</w:t>
      </w:r>
    </w:p>
    <w:p>
      <w:pPr>
        <w:spacing w:line="520" w:lineRule="exact"/>
        <w:ind w:firstLine="562" w:firstLineChars="200"/>
        <w:rPr>
          <w:rFonts w:eastAsia="仿宋_GB2312"/>
          <w:b/>
          <w:bCs/>
          <w:kern w:val="0"/>
          <w:sz w:val="28"/>
          <w:szCs w:val="28"/>
        </w:rPr>
      </w:pPr>
      <w:r>
        <w:rPr>
          <w:rFonts w:hint="eastAsia" w:eastAsia="仿宋_GB2312"/>
          <w:b/>
          <w:bCs/>
          <w:kern w:val="0"/>
          <w:sz w:val="28"/>
          <w:szCs w:val="28"/>
        </w:rPr>
        <w:t>（2）</w:t>
      </w:r>
      <w:r>
        <w:rPr>
          <w:rFonts w:ascii="Times New Roman" w:hAnsi="Times New Roman" w:eastAsia="仿宋_GB2312"/>
          <w:b/>
          <w:bCs/>
          <w:kern w:val="0"/>
          <w:sz w:val="28"/>
          <w:szCs w:val="28"/>
        </w:rPr>
        <w:t>教学常规管理</w:t>
      </w:r>
      <w:r>
        <w:rPr>
          <w:rFonts w:hint="eastAsia" w:eastAsia="仿宋_GB2312"/>
          <w:b/>
          <w:bCs/>
          <w:kern w:val="0"/>
          <w:sz w:val="28"/>
          <w:szCs w:val="28"/>
        </w:rPr>
        <w:t>常抓不懈</w:t>
      </w:r>
    </w:p>
    <w:p>
      <w:pPr>
        <w:spacing w:line="520" w:lineRule="exact"/>
        <w:ind w:firstLine="560" w:firstLineChars="200"/>
        <w:rPr>
          <w:rFonts w:ascii="仿宋_GB2312" w:hAnsi="仿宋_GB2312" w:eastAsia="仿宋_GB2312" w:cs="仿宋_GB2312"/>
          <w:b/>
          <w:bCs/>
          <w:sz w:val="32"/>
          <w:szCs w:val="32"/>
        </w:rPr>
      </w:pPr>
      <w:r>
        <w:rPr>
          <w:rFonts w:hint="eastAsia" w:eastAsia="仿宋_GB2312"/>
          <w:kern w:val="0"/>
          <w:sz w:val="28"/>
          <w:szCs w:val="28"/>
        </w:rPr>
        <w:t>采取院领导带队的周值班制度、教务处检查、督导检查和系（院、部）检查相结合，对日常教学进行监控；开展了教风学风建设，</w:t>
      </w:r>
      <w:r>
        <w:rPr>
          <w:rFonts w:ascii="Times New Roman" w:hAnsi="Times New Roman" w:eastAsia="仿宋_GB2312"/>
          <w:kern w:val="0"/>
          <w:sz w:val="28"/>
          <w:szCs w:val="28"/>
        </w:rPr>
        <w:t>健全</w:t>
      </w:r>
      <w:r>
        <w:rPr>
          <w:rFonts w:hint="eastAsia" w:eastAsia="仿宋_GB2312"/>
          <w:kern w:val="0"/>
          <w:sz w:val="28"/>
          <w:szCs w:val="28"/>
        </w:rPr>
        <w:t>了</w:t>
      </w:r>
      <w:r>
        <w:rPr>
          <w:rFonts w:ascii="Times New Roman" w:hAnsi="Times New Roman" w:eastAsia="仿宋_GB2312"/>
          <w:kern w:val="0"/>
          <w:sz w:val="28"/>
          <w:szCs w:val="28"/>
        </w:rPr>
        <w:t>教师到课和学生听课考评制度，提高</w:t>
      </w:r>
      <w:r>
        <w:rPr>
          <w:rFonts w:hint="eastAsia" w:eastAsia="仿宋_GB2312"/>
          <w:kern w:val="0"/>
          <w:sz w:val="28"/>
          <w:szCs w:val="28"/>
        </w:rPr>
        <w:t>了</w:t>
      </w:r>
      <w:r>
        <w:rPr>
          <w:rFonts w:ascii="Times New Roman" w:hAnsi="Times New Roman" w:eastAsia="仿宋_GB2312"/>
          <w:kern w:val="0"/>
          <w:sz w:val="28"/>
          <w:szCs w:val="28"/>
        </w:rPr>
        <w:t>课堂教学效率。</w:t>
      </w:r>
    </w:p>
    <w:p>
      <w:pPr>
        <w:rPr>
          <w:rFonts w:ascii="仿宋_GB2312" w:hAnsi="仿宋_GB2312" w:eastAsia="仿宋_GB2312" w:cs="仿宋_GB2312"/>
          <w:b/>
          <w:bCs/>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bookmarkStart w:id="155" w:name="_Toc32202"/>
      <w:bookmarkStart w:id="156" w:name="_Toc20323"/>
      <w:bookmarkStart w:id="157" w:name="_Toc20849"/>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bookmarkStart w:id="158" w:name="_Toc24968"/>
    </w:p>
    <w:p>
      <w:pPr>
        <w:rPr>
          <w:rFonts w:ascii="黑体" w:hAnsi="黑体" w:eastAsia="黑体" w:cs="黑体"/>
          <w:sz w:val="32"/>
          <w:szCs w:val="32"/>
        </w:rPr>
      </w:pPr>
      <w:bookmarkStart w:id="159" w:name="_Toc10143"/>
      <w:bookmarkStart w:id="160" w:name="_Toc24072"/>
      <w:bookmarkStart w:id="161" w:name="_Toc19540"/>
      <w:r>
        <w:rPr>
          <w:rFonts w:hint="eastAsia" w:ascii="黑体" w:hAnsi="黑体" w:eastAsia="黑体" w:cs="黑体"/>
          <w:sz w:val="32"/>
          <w:szCs w:val="32"/>
        </w:rPr>
        <w:t>4.政策保障</w:t>
      </w:r>
      <w:bookmarkEnd w:id="155"/>
      <w:bookmarkEnd w:id="156"/>
      <w:bookmarkEnd w:id="157"/>
      <w:bookmarkEnd w:id="158"/>
      <w:bookmarkEnd w:id="159"/>
      <w:bookmarkEnd w:id="160"/>
      <w:bookmarkEnd w:id="161"/>
    </w:p>
    <w:p>
      <w:pPr>
        <w:spacing w:line="520" w:lineRule="exact"/>
        <w:rPr>
          <w:rFonts w:ascii="仿宋_GB2312" w:hAnsi="仿宋_GB2312" w:eastAsia="仿宋_GB2312" w:cs="仿宋_GB2312"/>
          <w:b/>
          <w:bCs/>
          <w:sz w:val="28"/>
          <w:szCs w:val="28"/>
        </w:rPr>
      </w:pPr>
      <w:bookmarkStart w:id="162" w:name="_Toc9983"/>
      <w:bookmarkStart w:id="163" w:name="_Toc2045"/>
      <w:bookmarkStart w:id="164" w:name="_Toc5204"/>
      <w:bookmarkStart w:id="165" w:name="_Toc14305"/>
      <w:bookmarkStart w:id="166" w:name="_Toc27385"/>
      <w:bookmarkStart w:id="167" w:name="_Toc23365"/>
      <w:bookmarkStart w:id="168" w:name="_Toc12742"/>
      <w:r>
        <w:rPr>
          <w:rFonts w:hint="eastAsia" w:ascii="仿宋_GB2312" w:hAnsi="仿宋_GB2312" w:eastAsia="仿宋_GB2312" w:cs="仿宋_GB2312"/>
          <w:b/>
          <w:bCs/>
          <w:sz w:val="28"/>
          <w:szCs w:val="28"/>
        </w:rPr>
        <w:t>4.1落实政策表</w:t>
      </w:r>
      <w:bookmarkEnd w:id="162"/>
      <w:bookmarkEnd w:id="163"/>
      <w:bookmarkEnd w:id="164"/>
      <w:bookmarkEnd w:id="165"/>
      <w:bookmarkEnd w:id="166"/>
      <w:bookmarkEnd w:id="167"/>
      <w:bookmarkEnd w:id="168"/>
    </w:p>
    <w:p>
      <w:pPr>
        <w:spacing w:after="156" w:afterLines="50"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落实政策表中年生均财政拨款水平增长9.48%，说明地方政府加大了投入力度。企业兼职教师年课时总量</w:t>
      </w:r>
      <w:r>
        <w:rPr>
          <w:rFonts w:hint="eastAsia" w:ascii="仿宋_GB2312" w:hAnsi="仿宋_GB2312" w:eastAsia="仿宋_GB2312" w:cs="仿宋_GB2312"/>
          <w:sz w:val="28"/>
          <w:szCs w:val="28"/>
          <w:lang w:eastAsia="zh-CN"/>
        </w:rPr>
        <w:t>和</w:t>
      </w:r>
      <w:r>
        <w:rPr>
          <w:rFonts w:hint="eastAsia" w:ascii="仿宋_GB2312" w:hAnsi="仿宋_GB2312" w:eastAsia="仿宋_GB2312" w:cs="仿宋_GB2312"/>
          <w:sz w:val="28"/>
          <w:szCs w:val="28"/>
        </w:rPr>
        <w:t>年支付企业兼职教师课酬</w:t>
      </w:r>
      <w:r>
        <w:rPr>
          <w:rFonts w:hint="eastAsia" w:ascii="仿宋_GB2312" w:hAnsi="仿宋_GB2312" w:eastAsia="仿宋_GB2312" w:cs="仿宋_GB2312"/>
          <w:sz w:val="28"/>
          <w:szCs w:val="28"/>
          <w:lang w:eastAsia="zh-CN"/>
        </w:rPr>
        <w:t>增幅都在</w:t>
      </w:r>
      <w:r>
        <w:rPr>
          <w:rFonts w:hint="eastAsia" w:ascii="仿宋_GB2312" w:hAnsi="仿宋_GB2312" w:eastAsia="仿宋_GB2312" w:cs="仿宋_GB2312"/>
          <w:sz w:val="28"/>
          <w:szCs w:val="28"/>
          <w:lang w:val="en-US" w:eastAsia="zh-CN"/>
        </w:rPr>
        <w:t>60%以上，</w:t>
      </w:r>
      <w:r>
        <w:rPr>
          <w:rFonts w:hint="eastAsia" w:ascii="仿宋_GB2312" w:hAnsi="仿宋_GB2312" w:eastAsia="仿宋_GB2312" w:cs="仿宋_GB2312"/>
          <w:sz w:val="28"/>
          <w:szCs w:val="28"/>
        </w:rPr>
        <w:t>企业提供的校内实践教学设备值由2016年为0增加到1000万元，反映学院校企合作取得突破性进展。但是在涉及学生实习经费方面，财政、企业都没有补贴。</w:t>
      </w:r>
    </w:p>
    <w:p>
      <w:pPr>
        <w:spacing w:after="156" w:afterLines="50"/>
        <w:jc w:val="center"/>
        <w:rPr>
          <w:rFonts w:ascii="仿宋_GB2312" w:hAnsi="仿宋_GB2312" w:eastAsia="仿宋_GB2312" w:cs="仿宋_GB2312"/>
          <w:b/>
          <w:bCs/>
          <w:sz w:val="32"/>
          <w:szCs w:val="32"/>
        </w:rPr>
      </w:pPr>
      <w:r>
        <w:rPr>
          <w:rFonts w:hint="eastAsia" w:ascii="仿宋_GB2312" w:hAnsi="仿宋_GB2312" w:eastAsia="仿宋_GB2312" w:cs="仿宋_GB2312"/>
          <w:b/>
          <w:bCs/>
          <w:sz w:val="24"/>
          <w:szCs w:val="24"/>
        </w:rPr>
        <w:t>表</w:t>
      </w:r>
      <w:r>
        <w:rPr>
          <w:rFonts w:hint="eastAsia" w:ascii="Times New Roman" w:hAnsi="Times New Roman" w:eastAsia="仿宋_GB2312"/>
          <w:b/>
          <w:bCs/>
          <w:sz w:val="24"/>
          <w:szCs w:val="24"/>
        </w:rPr>
        <w:t>4-1</w:t>
      </w:r>
      <w:r>
        <w:rPr>
          <w:rFonts w:hint="eastAsia"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lang w:val="en-US" w:eastAsia="zh-CN"/>
        </w:rPr>
        <w:t xml:space="preserve"> </w:t>
      </w:r>
      <w:r>
        <w:rPr>
          <w:rFonts w:hint="eastAsia" w:ascii="仿宋_GB2312" w:hAnsi="仿宋_GB2312" w:eastAsia="仿宋_GB2312" w:cs="仿宋_GB2312"/>
          <w:b/>
          <w:bCs/>
          <w:sz w:val="24"/>
          <w:szCs w:val="24"/>
        </w:rPr>
        <w:t>落实政策表</w:t>
      </w:r>
    </w:p>
    <w:tbl>
      <w:tblPr>
        <w:tblStyle w:val="9"/>
        <w:tblW w:w="874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0"/>
        <w:gridCol w:w="771"/>
        <w:gridCol w:w="619"/>
        <w:gridCol w:w="2346"/>
        <w:gridCol w:w="793"/>
        <w:gridCol w:w="1073"/>
        <w:gridCol w:w="1087"/>
        <w:gridCol w:w="13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30" w:type="dxa"/>
            <w:tcBorders>
              <w:tl2br w:val="nil"/>
              <w:tr2bl w:val="nil"/>
            </w:tcBorders>
            <w:vAlign w:val="center"/>
          </w:tcPr>
          <w:p>
            <w:pPr>
              <w:jc w:val="center"/>
              <w:rPr>
                <w:rFonts w:ascii="仿宋_GB2312" w:hAnsi="仿宋_GB2312" w:eastAsia="仿宋_GB2312" w:cs="仿宋_GB2312"/>
                <w:b/>
              </w:rPr>
            </w:pPr>
            <w:r>
              <w:rPr>
                <w:rFonts w:hint="eastAsia" w:ascii="仿宋_GB2312" w:hAnsi="仿宋_GB2312" w:eastAsia="仿宋_GB2312" w:cs="仿宋_GB2312"/>
                <w:b/>
              </w:rPr>
              <w:t>院校</w:t>
            </w:r>
          </w:p>
          <w:p>
            <w:pPr>
              <w:jc w:val="center"/>
              <w:rPr>
                <w:rFonts w:ascii="仿宋_GB2312" w:hAnsi="仿宋_GB2312" w:eastAsia="仿宋_GB2312" w:cs="仿宋_GB2312"/>
                <w:b/>
              </w:rPr>
            </w:pPr>
            <w:r>
              <w:rPr>
                <w:rFonts w:hint="eastAsia" w:ascii="仿宋_GB2312" w:hAnsi="仿宋_GB2312" w:eastAsia="仿宋_GB2312" w:cs="仿宋_GB2312"/>
                <w:b/>
              </w:rPr>
              <w:t>代码</w:t>
            </w:r>
          </w:p>
        </w:tc>
        <w:tc>
          <w:tcPr>
            <w:tcW w:w="771" w:type="dxa"/>
            <w:tcBorders>
              <w:tl2br w:val="nil"/>
              <w:tr2bl w:val="nil"/>
            </w:tcBorders>
            <w:vAlign w:val="center"/>
          </w:tcPr>
          <w:p>
            <w:pPr>
              <w:jc w:val="center"/>
              <w:rPr>
                <w:rFonts w:ascii="仿宋_GB2312" w:hAnsi="仿宋_GB2312" w:eastAsia="仿宋_GB2312" w:cs="仿宋_GB2312"/>
                <w:b/>
              </w:rPr>
            </w:pPr>
            <w:r>
              <w:rPr>
                <w:rFonts w:hint="eastAsia" w:ascii="仿宋_GB2312" w:hAnsi="仿宋_GB2312" w:eastAsia="仿宋_GB2312" w:cs="仿宋_GB2312"/>
                <w:b/>
              </w:rPr>
              <w:t>院校</w:t>
            </w:r>
          </w:p>
          <w:p>
            <w:pPr>
              <w:jc w:val="center"/>
              <w:rPr>
                <w:rFonts w:ascii="仿宋_GB2312" w:hAnsi="仿宋_GB2312" w:eastAsia="仿宋_GB2312" w:cs="仿宋_GB2312"/>
                <w:b/>
              </w:rPr>
            </w:pPr>
            <w:r>
              <w:rPr>
                <w:rFonts w:hint="eastAsia" w:ascii="仿宋_GB2312" w:hAnsi="仿宋_GB2312" w:eastAsia="仿宋_GB2312" w:cs="仿宋_GB2312"/>
                <w:b/>
              </w:rPr>
              <w:t>名称</w:t>
            </w:r>
          </w:p>
        </w:tc>
        <w:tc>
          <w:tcPr>
            <w:tcW w:w="2965" w:type="dxa"/>
            <w:gridSpan w:val="2"/>
            <w:tcBorders>
              <w:tl2br w:val="nil"/>
              <w:tr2bl w:val="nil"/>
            </w:tcBorders>
            <w:vAlign w:val="center"/>
          </w:tcPr>
          <w:p>
            <w:pPr>
              <w:overflowPunct w:val="0"/>
              <w:jc w:val="center"/>
              <w:rPr>
                <w:rFonts w:ascii="仿宋_GB2312" w:hAnsi="仿宋_GB2312" w:eastAsia="仿宋_GB2312" w:cs="仿宋_GB2312"/>
                <w:b/>
              </w:rPr>
            </w:pPr>
            <w:r>
              <w:rPr>
                <w:rFonts w:hint="eastAsia" w:ascii="仿宋_GB2312" w:hAnsi="仿宋_GB2312" w:eastAsia="仿宋_GB2312" w:cs="仿宋_GB2312"/>
                <w:b/>
              </w:rPr>
              <w:t>指标</w:t>
            </w:r>
          </w:p>
        </w:tc>
        <w:tc>
          <w:tcPr>
            <w:tcW w:w="793" w:type="dxa"/>
            <w:tcBorders>
              <w:tl2br w:val="nil"/>
              <w:tr2bl w:val="nil"/>
            </w:tcBorders>
            <w:vAlign w:val="center"/>
          </w:tcPr>
          <w:p>
            <w:pPr>
              <w:jc w:val="center"/>
              <w:rPr>
                <w:rFonts w:ascii="仿宋_GB2312" w:hAnsi="仿宋_GB2312" w:eastAsia="仿宋_GB2312" w:cs="仿宋_GB2312"/>
                <w:b/>
              </w:rPr>
            </w:pPr>
            <w:r>
              <w:rPr>
                <w:rFonts w:hint="eastAsia" w:ascii="仿宋_GB2312" w:hAnsi="仿宋_GB2312" w:eastAsia="仿宋_GB2312" w:cs="仿宋_GB2312"/>
                <w:b/>
              </w:rPr>
              <w:t>单位</w:t>
            </w:r>
          </w:p>
        </w:tc>
        <w:tc>
          <w:tcPr>
            <w:tcW w:w="1073" w:type="dxa"/>
            <w:tcBorders>
              <w:tl2br w:val="nil"/>
              <w:tr2bl w:val="nil"/>
            </w:tcBorders>
            <w:vAlign w:val="center"/>
          </w:tcPr>
          <w:p>
            <w:pPr>
              <w:jc w:val="center"/>
              <w:rPr>
                <w:rFonts w:hint="eastAsia" w:ascii="仿宋_GB2312" w:hAnsi="仿宋_GB2312" w:eastAsia="仿宋_GB2312" w:cs="仿宋_GB2312"/>
                <w:b/>
              </w:rPr>
            </w:pPr>
            <w:r>
              <w:rPr>
                <w:rFonts w:hint="eastAsia" w:ascii="Times New Roman" w:hAnsi="Times New Roman" w:eastAsia="仿宋_GB2312"/>
                <w:b/>
                <w:bCs/>
              </w:rPr>
              <w:t>2016</w:t>
            </w:r>
            <w:r>
              <w:rPr>
                <w:rFonts w:hint="eastAsia" w:ascii="仿宋_GB2312" w:hAnsi="仿宋_GB2312" w:eastAsia="仿宋_GB2312" w:cs="仿宋_GB2312"/>
                <w:b/>
              </w:rPr>
              <w:t>年</w:t>
            </w:r>
          </w:p>
        </w:tc>
        <w:tc>
          <w:tcPr>
            <w:tcW w:w="1087" w:type="dxa"/>
            <w:tcBorders>
              <w:tl2br w:val="nil"/>
              <w:tr2bl w:val="nil"/>
            </w:tcBorders>
            <w:vAlign w:val="center"/>
          </w:tcPr>
          <w:p>
            <w:pPr>
              <w:jc w:val="center"/>
              <w:rPr>
                <w:rFonts w:hint="eastAsia" w:ascii="仿宋_GB2312" w:hAnsi="仿宋_GB2312" w:eastAsia="仿宋_GB2312" w:cs="仿宋_GB2312"/>
                <w:b/>
              </w:rPr>
            </w:pPr>
            <w:r>
              <w:rPr>
                <w:rFonts w:hint="eastAsia" w:ascii="Times New Roman" w:hAnsi="Times New Roman" w:eastAsia="仿宋_GB2312"/>
                <w:b/>
                <w:bCs/>
              </w:rPr>
              <w:t>2017</w:t>
            </w:r>
            <w:r>
              <w:rPr>
                <w:rFonts w:hint="eastAsia" w:ascii="仿宋_GB2312" w:hAnsi="仿宋_GB2312" w:eastAsia="仿宋_GB2312" w:cs="仿宋_GB2312"/>
                <w:b/>
              </w:rPr>
              <w:t>年</w:t>
            </w:r>
          </w:p>
        </w:tc>
        <w:tc>
          <w:tcPr>
            <w:tcW w:w="1328" w:type="dxa"/>
            <w:tcBorders>
              <w:tl2br w:val="nil"/>
              <w:tr2bl w:val="nil"/>
            </w:tcBorders>
            <w:vAlign w:val="center"/>
          </w:tcPr>
          <w:p>
            <w:pPr>
              <w:rPr>
                <w:rFonts w:ascii="仿宋_GB2312" w:hAnsi="仿宋_GB2312" w:eastAsia="仿宋_GB2312" w:cs="仿宋_GB2312"/>
                <w:b/>
              </w:rPr>
            </w:pPr>
            <w:r>
              <w:rPr>
                <w:rFonts w:hint="eastAsia" w:ascii="仿宋_GB2312" w:hAnsi="仿宋_GB2312" w:eastAsia="仿宋_GB2312" w:cs="仿宋_GB2312"/>
                <w:b/>
              </w:rPr>
              <w:t>增长率（%）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30" w:type="dxa"/>
            <w:vMerge w:val="restart"/>
            <w:tcBorders>
              <w:tl2br w:val="nil"/>
              <w:tr2bl w:val="nil"/>
            </w:tcBorders>
            <w:vAlign w:val="center"/>
          </w:tcPr>
          <w:p>
            <w:pPr>
              <w:overflowPunct w:val="0"/>
              <w:jc w:val="left"/>
              <w:rPr>
                <w:rFonts w:ascii="仿宋_GB2312" w:hAnsi="仿宋_GB2312" w:eastAsia="仿宋_GB2312" w:cs="仿宋_GB2312"/>
                <w:b/>
              </w:rPr>
            </w:pPr>
            <w:r>
              <w:rPr>
                <w:rFonts w:hint="eastAsia" w:ascii="仿宋_GB2312" w:hAnsi="仿宋_GB2312" w:eastAsia="仿宋_GB2312" w:cs="仿宋_GB2312"/>
                <w:bCs/>
              </w:rPr>
              <w:t>12600</w:t>
            </w:r>
          </w:p>
        </w:tc>
        <w:tc>
          <w:tcPr>
            <w:tcW w:w="771" w:type="dxa"/>
            <w:vMerge w:val="restart"/>
            <w:tcBorders>
              <w:tl2br w:val="nil"/>
              <w:tr2bl w:val="nil"/>
            </w:tcBorders>
            <w:vAlign w:val="center"/>
          </w:tcPr>
          <w:p>
            <w:pPr>
              <w:overflowPunct w:val="0"/>
              <w:jc w:val="left"/>
              <w:rPr>
                <w:rFonts w:ascii="仿宋_GB2312" w:hAnsi="仿宋_GB2312" w:eastAsia="仿宋_GB2312" w:cs="仿宋_GB2312"/>
                <w:b/>
              </w:rPr>
            </w:pPr>
            <w:r>
              <w:rPr>
                <w:rFonts w:hint="eastAsia" w:ascii="仿宋_GB2312" w:hAnsi="仿宋_GB2312" w:eastAsia="仿宋_GB2312" w:cs="仿宋_GB2312"/>
                <w:bCs/>
              </w:rPr>
              <w:t>邵阳职业技术学院</w:t>
            </w:r>
          </w:p>
        </w:tc>
        <w:tc>
          <w:tcPr>
            <w:tcW w:w="619" w:type="dxa"/>
            <w:vMerge w:val="restart"/>
            <w:tcBorders>
              <w:tl2br w:val="nil"/>
              <w:tr2bl w:val="nil"/>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1</w:t>
            </w:r>
          </w:p>
        </w:tc>
        <w:tc>
          <w:tcPr>
            <w:tcW w:w="2346" w:type="dxa"/>
            <w:tcBorders>
              <w:tl2br w:val="nil"/>
              <w:tr2bl w:val="nil"/>
            </w:tcBorders>
            <w:vAlign w:val="center"/>
          </w:tcPr>
          <w:p>
            <w:pPr>
              <w:jc w:val="left"/>
              <w:rPr>
                <w:rFonts w:ascii="仿宋_GB2312" w:hAnsi="仿宋_GB2312" w:eastAsia="仿宋_GB2312" w:cs="仿宋_GB2312"/>
              </w:rPr>
            </w:pPr>
            <w:r>
              <w:rPr>
                <w:rFonts w:hint="eastAsia" w:ascii="仿宋_GB2312" w:hAnsi="仿宋_GB2312" w:eastAsia="仿宋_GB2312" w:cs="仿宋_GB2312"/>
              </w:rPr>
              <w:t>年生均财政拨款水平</w:t>
            </w:r>
          </w:p>
        </w:tc>
        <w:tc>
          <w:tcPr>
            <w:tcW w:w="793" w:type="dxa"/>
            <w:tcBorders>
              <w:tl2br w:val="nil"/>
              <w:tr2bl w:val="nil"/>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元</w:t>
            </w:r>
          </w:p>
        </w:tc>
        <w:tc>
          <w:tcPr>
            <w:tcW w:w="1073" w:type="dxa"/>
            <w:tcBorders>
              <w:tl2br w:val="nil"/>
              <w:tr2bl w:val="nil"/>
            </w:tcBorders>
            <w:shd w:val="clear" w:color="000000" w:fill="FFFFFF"/>
            <w:vAlign w:val="center"/>
          </w:tcPr>
          <w:p>
            <w:pPr>
              <w:jc w:val="center"/>
              <w:rPr>
                <w:rFonts w:ascii="Times New Roman" w:hAnsi="Times New Roman" w:eastAsia="仿宋_GB2312"/>
              </w:rPr>
            </w:pPr>
            <w:r>
              <w:rPr>
                <w:rFonts w:hint="eastAsia" w:ascii="Times New Roman" w:hAnsi="Times New Roman" w:eastAsia="仿宋_GB2312"/>
              </w:rPr>
              <w:t>7398.60</w:t>
            </w:r>
          </w:p>
        </w:tc>
        <w:tc>
          <w:tcPr>
            <w:tcW w:w="1087"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8099.94</w:t>
            </w:r>
          </w:p>
        </w:tc>
        <w:tc>
          <w:tcPr>
            <w:tcW w:w="1328"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9.48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30" w:type="dxa"/>
            <w:vMerge w:val="continue"/>
            <w:tcBorders>
              <w:tl2br w:val="nil"/>
              <w:tr2bl w:val="nil"/>
            </w:tcBorders>
            <w:vAlign w:val="center"/>
          </w:tcPr>
          <w:p>
            <w:pPr>
              <w:overflowPunct w:val="0"/>
              <w:jc w:val="left"/>
              <w:rPr>
                <w:rFonts w:ascii="仿宋_GB2312" w:hAnsi="仿宋_GB2312" w:eastAsia="仿宋_GB2312" w:cs="仿宋_GB2312"/>
                <w:b/>
              </w:rPr>
            </w:pPr>
          </w:p>
        </w:tc>
        <w:tc>
          <w:tcPr>
            <w:tcW w:w="771" w:type="dxa"/>
            <w:vMerge w:val="continue"/>
            <w:tcBorders>
              <w:tl2br w:val="nil"/>
              <w:tr2bl w:val="nil"/>
            </w:tcBorders>
            <w:vAlign w:val="center"/>
          </w:tcPr>
          <w:p>
            <w:pPr>
              <w:overflowPunct w:val="0"/>
              <w:jc w:val="left"/>
              <w:rPr>
                <w:rFonts w:ascii="仿宋_GB2312" w:hAnsi="仿宋_GB2312" w:eastAsia="仿宋_GB2312" w:cs="仿宋_GB2312"/>
                <w:b/>
              </w:rPr>
            </w:pPr>
          </w:p>
        </w:tc>
        <w:tc>
          <w:tcPr>
            <w:tcW w:w="619" w:type="dxa"/>
            <w:vMerge w:val="continue"/>
            <w:tcBorders>
              <w:tl2br w:val="nil"/>
              <w:tr2bl w:val="nil"/>
            </w:tcBorders>
            <w:vAlign w:val="center"/>
          </w:tcPr>
          <w:p>
            <w:pPr>
              <w:overflowPunct w:val="0"/>
              <w:jc w:val="left"/>
              <w:rPr>
                <w:rFonts w:ascii="仿宋_GB2312" w:hAnsi="仿宋_GB2312" w:eastAsia="仿宋_GB2312" w:cs="仿宋_GB2312"/>
                <w:b/>
              </w:rPr>
            </w:pPr>
          </w:p>
        </w:tc>
        <w:tc>
          <w:tcPr>
            <w:tcW w:w="2346" w:type="dxa"/>
            <w:tcBorders>
              <w:tl2br w:val="nil"/>
              <w:tr2bl w:val="nil"/>
            </w:tcBorders>
            <w:vAlign w:val="center"/>
          </w:tcPr>
          <w:p>
            <w:pPr>
              <w:jc w:val="left"/>
              <w:rPr>
                <w:rFonts w:ascii="仿宋_GB2312" w:hAnsi="仿宋_GB2312" w:eastAsia="仿宋_GB2312" w:cs="仿宋_GB2312"/>
              </w:rPr>
            </w:pPr>
            <w:r>
              <w:rPr>
                <w:rFonts w:hint="eastAsia" w:ascii="仿宋_GB2312" w:hAnsi="仿宋_GB2312" w:eastAsia="仿宋_GB2312" w:cs="仿宋_GB2312"/>
              </w:rPr>
              <w:t xml:space="preserve">  其中：年生均财政专项经费</w:t>
            </w:r>
          </w:p>
        </w:tc>
        <w:tc>
          <w:tcPr>
            <w:tcW w:w="793" w:type="dxa"/>
            <w:tcBorders>
              <w:tl2br w:val="nil"/>
              <w:tr2bl w:val="nil"/>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元</w:t>
            </w:r>
          </w:p>
        </w:tc>
        <w:tc>
          <w:tcPr>
            <w:tcW w:w="1073" w:type="dxa"/>
            <w:tcBorders>
              <w:tl2br w:val="nil"/>
              <w:tr2bl w:val="nil"/>
            </w:tcBorders>
            <w:shd w:val="clear" w:color="000000" w:fill="FFFFFF"/>
            <w:vAlign w:val="center"/>
          </w:tcPr>
          <w:p>
            <w:pPr>
              <w:jc w:val="center"/>
              <w:rPr>
                <w:rFonts w:ascii="Times New Roman" w:hAnsi="Times New Roman" w:eastAsia="仿宋_GB2312"/>
              </w:rPr>
            </w:pPr>
            <w:r>
              <w:rPr>
                <w:rFonts w:hint="eastAsia" w:ascii="Times New Roman" w:hAnsi="Times New Roman" w:eastAsia="仿宋_GB2312"/>
              </w:rPr>
              <w:t>3925.50</w:t>
            </w:r>
          </w:p>
        </w:tc>
        <w:tc>
          <w:tcPr>
            <w:tcW w:w="1087"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3608.12</w:t>
            </w:r>
          </w:p>
        </w:tc>
        <w:tc>
          <w:tcPr>
            <w:tcW w:w="1328"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-8.09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30" w:type="dxa"/>
            <w:vMerge w:val="continue"/>
            <w:tcBorders>
              <w:tl2br w:val="nil"/>
              <w:tr2bl w:val="nil"/>
            </w:tcBorders>
            <w:vAlign w:val="center"/>
          </w:tcPr>
          <w:p>
            <w:pPr>
              <w:overflowPunct w:val="0"/>
              <w:jc w:val="left"/>
              <w:rPr>
                <w:rFonts w:ascii="仿宋_GB2312" w:hAnsi="仿宋_GB2312" w:eastAsia="仿宋_GB2312" w:cs="仿宋_GB2312"/>
                <w:b/>
              </w:rPr>
            </w:pPr>
          </w:p>
        </w:tc>
        <w:tc>
          <w:tcPr>
            <w:tcW w:w="771" w:type="dxa"/>
            <w:vMerge w:val="continue"/>
            <w:tcBorders>
              <w:tl2br w:val="nil"/>
              <w:tr2bl w:val="nil"/>
            </w:tcBorders>
            <w:vAlign w:val="center"/>
          </w:tcPr>
          <w:p>
            <w:pPr>
              <w:overflowPunct w:val="0"/>
              <w:jc w:val="left"/>
              <w:rPr>
                <w:rFonts w:ascii="仿宋_GB2312" w:hAnsi="仿宋_GB2312" w:eastAsia="仿宋_GB2312" w:cs="仿宋_GB2312"/>
                <w:b/>
              </w:rPr>
            </w:pPr>
          </w:p>
        </w:tc>
        <w:tc>
          <w:tcPr>
            <w:tcW w:w="619" w:type="dxa"/>
            <w:vMerge w:val="restart"/>
            <w:tcBorders>
              <w:tl2br w:val="nil"/>
              <w:tr2bl w:val="nil"/>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2</w:t>
            </w:r>
          </w:p>
        </w:tc>
        <w:tc>
          <w:tcPr>
            <w:tcW w:w="2346" w:type="dxa"/>
            <w:tcBorders>
              <w:tl2br w:val="nil"/>
              <w:tr2bl w:val="nil"/>
            </w:tcBorders>
            <w:vAlign w:val="center"/>
          </w:tcPr>
          <w:p>
            <w:pPr>
              <w:jc w:val="left"/>
              <w:rPr>
                <w:rFonts w:ascii="仿宋_GB2312" w:hAnsi="仿宋_GB2312" w:eastAsia="仿宋_GB2312" w:cs="仿宋_GB2312"/>
              </w:rPr>
            </w:pPr>
            <w:r>
              <w:rPr>
                <w:rFonts w:hint="eastAsia" w:ascii="仿宋_GB2312" w:hAnsi="仿宋_GB2312" w:eastAsia="仿宋_GB2312" w:cs="仿宋_GB2312"/>
              </w:rPr>
              <w:t>教职员工额定编制数</w:t>
            </w:r>
          </w:p>
        </w:tc>
        <w:tc>
          <w:tcPr>
            <w:tcW w:w="793" w:type="dxa"/>
            <w:tcBorders>
              <w:tl2br w:val="nil"/>
              <w:tr2bl w:val="nil"/>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人</w:t>
            </w:r>
          </w:p>
        </w:tc>
        <w:tc>
          <w:tcPr>
            <w:tcW w:w="1073" w:type="dxa"/>
            <w:tcBorders>
              <w:tl2br w:val="nil"/>
              <w:tr2bl w:val="nil"/>
            </w:tcBorders>
            <w:shd w:val="clear" w:color="000000" w:fill="FFFFFF"/>
            <w:vAlign w:val="center"/>
          </w:tcPr>
          <w:p>
            <w:pPr>
              <w:jc w:val="center"/>
              <w:rPr>
                <w:rFonts w:ascii="Times New Roman" w:hAnsi="Times New Roman" w:eastAsia="仿宋_GB2312"/>
              </w:rPr>
            </w:pPr>
            <w:r>
              <w:rPr>
                <w:rFonts w:hint="eastAsia" w:ascii="Times New Roman" w:hAnsi="Times New Roman" w:eastAsia="仿宋_GB2312"/>
              </w:rPr>
              <w:t>480</w:t>
            </w:r>
          </w:p>
        </w:tc>
        <w:tc>
          <w:tcPr>
            <w:tcW w:w="1087"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480</w:t>
            </w:r>
          </w:p>
        </w:tc>
        <w:tc>
          <w:tcPr>
            <w:tcW w:w="1328"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30" w:type="dxa"/>
            <w:vMerge w:val="continue"/>
            <w:tcBorders>
              <w:tl2br w:val="nil"/>
              <w:tr2bl w:val="nil"/>
            </w:tcBorders>
            <w:vAlign w:val="center"/>
          </w:tcPr>
          <w:p>
            <w:pPr>
              <w:overflowPunct w:val="0"/>
              <w:jc w:val="left"/>
              <w:rPr>
                <w:rFonts w:ascii="仿宋_GB2312" w:hAnsi="仿宋_GB2312" w:eastAsia="仿宋_GB2312" w:cs="仿宋_GB2312"/>
                <w:b/>
              </w:rPr>
            </w:pPr>
          </w:p>
        </w:tc>
        <w:tc>
          <w:tcPr>
            <w:tcW w:w="771" w:type="dxa"/>
            <w:vMerge w:val="continue"/>
            <w:tcBorders>
              <w:tl2br w:val="nil"/>
              <w:tr2bl w:val="nil"/>
            </w:tcBorders>
            <w:vAlign w:val="center"/>
          </w:tcPr>
          <w:p>
            <w:pPr>
              <w:overflowPunct w:val="0"/>
              <w:jc w:val="left"/>
              <w:rPr>
                <w:rFonts w:ascii="仿宋_GB2312" w:hAnsi="仿宋_GB2312" w:eastAsia="仿宋_GB2312" w:cs="仿宋_GB2312"/>
                <w:b/>
              </w:rPr>
            </w:pPr>
          </w:p>
        </w:tc>
        <w:tc>
          <w:tcPr>
            <w:tcW w:w="619" w:type="dxa"/>
            <w:vMerge w:val="continue"/>
            <w:tcBorders>
              <w:tl2br w:val="nil"/>
              <w:tr2bl w:val="nil"/>
            </w:tcBorders>
            <w:vAlign w:val="center"/>
          </w:tcPr>
          <w:p>
            <w:pPr>
              <w:overflowPunct w:val="0"/>
              <w:jc w:val="left"/>
              <w:rPr>
                <w:rFonts w:ascii="仿宋_GB2312" w:hAnsi="仿宋_GB2312" w:eastAsia="仿宋_GB2312" w:cs="仿宋_GB2312"/>
                <w:b/>
              </w:rPr>
            </w:pPr>
          </w:p>
        </w:tc>
        <w:tc>
          <w:tcPr>
            <w:tcW w:w="2346" w:type="dxa"/>
            <w:tcBorders>
              <w:tl2br w:val="nil"/>
              <w:tr2bl w:val="nil"/>
            </w:tcBorders>
            <w:vAlign w:val="center"/>
          </w:tcPr>
          <w:p>
            <w:pPr>
              <w:jc w:val="left"/>
              <w:rPr>
                <w:rFonts w:ascii="仿宋_GB2312" w:hAnsi="仿宋_GB2312" w:eastAsia="仿宋_GB2312" w:cs="仿宋_GB2312"/>
              </w:rPr>
            </w:pPr>
            <w:r>
              <w:rPr>
                <w:rFonts w:hint="eastAsia" w:ascii="仿宋_GB2312" w:hAnsi="仿宋_GB2312" w:eastAsia="仿宋_GB2312" w:cs="仿宋_GB2312"/>
              </w:rPr>
              <w:t>在岗教职员工总数</w:t>
            </w:r>
          </w:p>
        </w:tc>
        <w:tc>
          <w:tcPr>
            <w:tcW w:w="793" w:type="dxa"/>
            <w:tcBorders>
              <w:tl2br w:val="nil"/>
              <w:tr2bl w:val="nil"/>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人</w:t>
            </w:r>
          </w:p>
        </w:tc>
        <w:tc>
          <w:tcPr>
            <w:tcW w:w="1073" w:type="dxa"/>
            <w:tcBorders>
              <w:tl2br w:val="nil"/>
              <w:tr2bl w:val="nil"/>
            </w:tcBorders>
            <w:shd w:val="clear" w:color="000000" w:fill="FFFFFF"/>
            <w:vAlign w:val="center"/>
          </w:tcPr>
          <w:p>
            <w:pPr>
              <w:jc w:val="center"/>
              <w:rPr>
                <w:rFonts w:ascii="Times New Roman" w:hAnsi="Times New Roman" w:eastAsia="仿宋_GB2312"/>
              </w:rPr>
            </w:pPr>
            <w:r>
              <w:rPr>
                <w:rFonts w:hint="eastAsia" w:ascii="Times New Roman" w:hAnsi="Times New Roman" w:eastAsia="仿宋_GB2312"/>
              </w:rPr>
              <w:t>391</w:t>
            </w:r>
          </w:p>
        </w:tc>
        <w:tc>
          <w:tcPr>
            <w:tcW w:w="1087"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38</w:t>
            </w:r>
            <w:r>
              <w:rPr>
                <w:rFonts w:hint="eastAsia" w:ascii="Times New Roman" w:hAnsi="Times New Roman" w:eastAsia="仿宋_GB2312"/>
                <w:lang w:val="en-US" w:eastAsia="zh-CN"/>
              </w:rPr>
              <w:t>8</w:t>
            </w:r>
          </w:p>
        </w:tc>
        <w:tc>
          <w:tcPr>
            <w:tcW w:w="1328"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w:t>
            </w:r>
            <w:r>
              <w:rPr>
                <w:rFonts w:hint="eastAsia" w:ascii="Times New Roman" w:hAnsi="Times New Roman" w:eastAsia="仿宋_GB2312"/>
                <w:lang w:val="en-US" w:eastAsia="zh-CN"/>
              </w:rPr>
              <w:t>0</w:t>
            </w:r>
            <w:r>
              <w:rPr>
                <w:rFonts w:hint="eastAsia" w:ascii="Times New Roman" w:hAnsi="Times New Roman" w:eastAsia="仿宋_GB2312"/>
              </w:rPr>
              <w:t>.</w:t>
            </w:r>
            <w:r>
              <w:rPr>
                <w:rFonts w:hint="eastAsia" w:ascii="Times New Roman" w:hAnsi="Times New Roman" w:eastAsia="仿宋_GB2312"/>
                <w:lang w:val="en-US" w:eastAsia="zh-CN"/>
              </w:rPr>
              <w:t>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30" w:type="dxa"/>
            <w:vMerge w:val="continue"/>
            <w:tcBorders>
              <w:tl2br w:val="nil"/>
              <w:tr2bl w:val="nil"/>
            </w:tcBorders>
            <w:vAlign w:val="center"/>
          </w:tcPr>
          <w:p>
            <w:pPr>
              <w:overflowPunct w:val="0"/>
              <w:jc w:val="left"/>
              <w:rPr>
                <w:rFonts w:ascii="仿宋_GB2312" w:hAnsi="仿宋_GB2312" w:eastAsia="仿宋_GB2312" w:cs="仿宋_GB2312"/>
                <w:b/>
              </w:rPr>
            </w:pPr>
          </w:p>
        </w:tc>
        <w:tc>
          <w:tcPr>
            <w:tcW w:w="771" w:type="dxa"/>
            <w:vMerge w:val="continue"/>
            <w:tcBorders>
              <w:tl2br w:val="nil"/>
              <w:tr2bl w:val="nil"/>
            </w:tcBorders>
            <w:vAlign w:val="center"/>
          </w:tcPr>
          <w:p>
            <w:pPr>
              <w:overflowPunct w:val="0"/>
              <w:jc w:val="left"/>
              <w:rPr>
                <w:rFonts w:ascii="仿宋_GB2312" w:hAnsi="仿宋_GB2312" w:eastAsia="仿宋_GB2312" w:cs="仿宋_GB2312"/>
                <w:b/>
              </w:rPr>
            </w:pPr>
          </w:p>
        </w:tc>
        <w:tc>
          <w:tcPr>
            <w:tcW w:w="619" w:type="dxa"/>
            <w:vMerge w:val="continue"/>
            <w:tcBorders>
              <w:tl2br w:val="nil"/>
              <w:tr2bl w:val="nil"/>
            </w:tcBorders>
            <w:vAlign w:val="center"/>
          </w:tcPr>
          <w:p>
            <w:pPr>
              <w:overflowPunct w:val="0"/>
              <w:jc w:val="left"/>
              <w:rPr>
                <w:rFonts w:ascii="仿宋_GB2312" w:hAnsi="仿宋_GB2312" w:eastAsia="仿宋_GB2312" w:cs="仿宋_GB2312"/>
                <w:b/>
              </w:rPr>
            </w:pPr>
          </w:p>
        </w:tc>
        <w:tc>
          <w:tcPr>
            <w:tcW w:w="2346" w:type="dxa"/>
            <w:tcBorders>
              <w:tl2br w:val="nil"/>
              <w:tr2bl w:val="nil"/>
            </w:tcBorders>
            <w:vAlign w:val="center"/>
          </w:tcPr>
          <w:p>
            <w:pPr>
              <w:jc w:val="left"/>
              <w:rPr>
                <w:rFonts w:ascii="仿宋_GB2312" w:hAnsi="仿宋_GB2312" w:eastAsia="仿宋_GB2312" w:cs="仿宋_GB2312"/>
              </w:rPr>
            </w:pPr>
            <w:r>
              <w:rPr>
                <w:rFonts w:hint="eastAsia" w:ascii="仿宋_GB2312" w:hAnsi="仿宋_GB2312" w:eastAsia="仿宋_GB2312" w:cs="仿宋_GB2312"/>
              </w:rPr>
              <w:t xml:space="preserve">  其中，专任教师总数</w:t>
            </w:r>
          </w:p>
        </w:tc>
        <w:tc>
          <w:tcPr>
            <w:tcW w:w="793" w:type="dxa"/>
            <w:tcBorders>
              <w:tl2br w:val="nil"/>
              <w:tr2bl w:val="nil"/>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人</w:t>
            </w:r>
          </w:p>
        </w:tc>
        <w:tc>
          <w:tcPr>
            <w:tcW w:w="1073"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249</w:t>
            </w:r>
          </w:p>
        </w:tc>
        <w:tc>
          <w:tcPr>
            <w:tcW w:w="1087"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2</w:t>
            </w:r>
            <w:r>
              <w:rPr>
                <w:rFonts w:hint="eastAsia" w:ascii="Times New Roman" w:hAnsi="Times New Roman" w:eastAsia="仿宋_GB2312"/>
                <w:lang w:val="en-US" w:eastAsia="zh-CN"/>
              </w:rPr>
              <w:t>51</w:t>
            </w:r>
          </w:p>
        </w:tc>
        <w:tc>
          <w:tcPr>
            <w:tcW w:w="1328" w:type="dxa"/>
            <w:tcBorders>
              <w:tl2br w:val="nil"/>
              <w:tr2bl w:val="nil"/>
            </w:tcBorders>
            <w:vAlign w:val="center"/>
          </w:tcPr>
          <w:p>
            <w:pPr>
              <w:jc w:val="center"/>
              <w:rPr>
                <w:rFonts w:hint="eastAsia" w:ascii="Times New Roman" w:hAnsi="Times New Roman" w:eastAsia="仿宋_GB2312"/>
                <w:lang w:val="en-US" w:eastAsia="zh-CN"/>
              </w:rPr>
            </w:pPr>
            <w:r>
              <w:rPr>
                <w:rFonts w:hint="eastAsia" w:ascii="Times New Roman" w:hAnsi="Times New Roman" w:eastAsia="仿宋_GB2312"/>
                <w:lang w:val="en-US" w:eastAsia="zh-CN"/>
              </w:rPr>
              <w:t>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30" w:type="dxa"/>
            <w:vMerge w:val="continue"/>
            <w:tcBorders>
              <w:tl2br w:val="nil"/>
              <w:tr2bl w:val="nil"/>
            </w:tcBorders>
            <w:vAlign w:val="center"/>
          </w:tcPr>
          <w:p>
            <w:pPr>
              <w:overflowPunct w:val="0"/>
              <w:jc w:val="left"/>
              <w:rPr>
                <w:rFonts w:ascii="仿宋_GB2312" w:hAnsi="仿宋_GB2312" w:eastAsia="仿宋_GB2312" w:cs="仿宋_GB2312"/>
                <w:b/>
              </w:rPr>
            </w:pPr>
          </w:p>
        </w:tc>
        <w:tc>
          <w:tcPr>
            <w:tcW w:w="771" w:type="dxa"/>
            <w:vMerge w:val="continue"/>
            <w:tcBorders>
              <w:tl2br w:val="nil"/>
              <w:tr2bl w:val="nil"/>
            </w:tcBorders>
            <w:vAlign w:val="center"/>
          </w:tcPr>
          <w:p>
            <w:pPr>
              <w:overflowPunct w:val="0"/>
              <w:jc w:val="left"/>
              <w:rPr>
                <w:rFonts w:ascii="仿宋_GB2312" w:hAnsi="仿宋_GB2312" w:eastAsia="仿宋_GB2312" w:cs="仿宋_GB2312"/>
                <w:b/>
              </w:rPr>
            </w:pPr>
          </w:p>
        </w:tc>
        <w:tc>
          <w:tcPr>
            <w:tcW w:w="619" w:type="dxa"/>
            <w:tcBorders>
              <w:tl2br w:val="nil"/>
              <w:tr2bl w:val="nil"/>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3</w:t>
            </w:r>
          </w:p>
        </w:tc>
        <w:tc>
          <w:tcPr>
            <w:tcW w:w="2346" w:type="dxa"/>
            <w:tcBorders>
              <w:tl2br w:val="nil"/>
              <w:tr2bl w:val="nil"/>
            </w:tcBorders>
            <w:vAlign w:val="center"/>
          </w:tcPr>
          <w:p>
            <w:pPr>
              <w:jc w:val="left"/>
              <w:rPr>
                <w:rFonts w:ascii="仿宋_GB2312" w:hAnsi="仿宋_GB2312" w:eastAsia="仿宋_GB2312" w:cs="仿宋_GB2312"/>
              </w:rPr>
            </w:pPr>
            <w:r>
              <w:rPr>
                <w:rFonts w:hint="eastAsia" w:ascii="仿宋_GB2312" w:hAnsi="仿宋_GB2312" w:eastAsia="仿宋_GB2312" w:cs="仿宋_GB2312"/>
              </w:rPr>
              <w:t>企业提供的校内实践教学设备值</w:t>
            </w:r>
          </w:p>
        </w:tc>
        <w:tc>
          <w:tcPr>
            <w:tcW w:w="793" w:type="dxa"/>
            <w:tcBorders>
              <w:tl2br w:val="nil"/>
              <w:tr2bl w:val="nil"/>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万元</w:t>
            </w:r>
          </w:p>
        </w:tc>
        <w:tc>
          <w:tcPr>
            <w:tcW w:w="1073"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w:t>
            </w:r>
          </w:p>
        </w:tc>
        <w:tc>
          <w:tcPr>
            <w:tcW w:w="1087"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1000</w:t>
            </w:r>
          </w:p>
        </w:tc>
        <w:tc>
          <w:tcPr>
            <w:tcW w:w="1328" w:type="dxa"/>
            <w:tcBorders>
              <w:tl2br w:val="nil"/>
              <w:tr2bl w:val="nil"/>
            </w:tcBorders>
            <w:vAlign w:val="center"/>
          </w:tcPr>
          <w:p>
            <w:pPr>
              <w:jc w:val="center"/>
              <w:rPr>
                <w:rFonts w:ascii="Times New Roman" w:hAnsi="Times New Roman"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30" w:type="dxa"/>
            <w:vMerge w:val="continue"/>
            <w:tcBorders>
              <w:tl2br w:val="nil"/>
              <w:tr2bl w:val="nil"/>
            </w:tcBorders>
            <w:vAlign w:val="center"/>
          </w:tcPr>
          <w:p>
            <w:pPr>
              <w:overflowPunct w:val="0"/>
              <w:jc w:val="left"/>
              <w:rPr>
                <w:rFonts w:ascii="仿宋_GB2312" w:hAnsi="仿宋_GB2312" w:eastAsia="仿宋_GB2312" w:cs="仿宋_GB2312"/>
                <w:b/>
              </w:rPr>
            </w:pPr>
          </w:p>
        </w:tc>
        <w:tc>
          <w:tcPr>
            <w:tcW w:w="771" w:type="dxa"/>
            <w:vMerge w:val="continue"/>
            <w:tcBorders>
              <w:tl2br w:val="nil"/>
              <w:tr2bl w:val="nil"/>
            </w:tcBorders>
            <w:vAlign w:val="center"/>
          </w:tcPr>
          <w:p>
            <w:pPr>
              <w:overflowPunct w:val="0"/>
              <w:jc w:val="left"/>
              <w:rPr>
                <w:rFonts w:ascii="仿宋_GB2312" w:hAnsi="仿宋_GB2312" w:eastAsia="仿宋_GB2312" w:cs="仿宋_GB2312"/>
                <w:b/>
              </w:rPr>
            </w:pPr>
          </w:p>
        </w:tc>
        <w:tc>
          <w:tcPr>
            <w:tcW w:w="619" w:type="dxa"/>
            <w:vMerge w:val="restart"/>
            <w:tcBorders>
              <w:tl2br w:val="nil"/>
              <w:tr2bl w:val="nil"/>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4</w:t>
            </w:r>
          </w:p>
        </w:tc>
        <w:tc>
          <w:tcPr>
            <w:tcW w:w="2346" w:type="dxa"/>
            <w:tcBorders>
              <w:tl2br w:val="nil"/>
              <w:tr2bl w:val="nil"/>
            </w:tcBorders>
            <w:vAlign w:val="center"/>
          </w:tcPr>
          <w:p>
            <w:pPr>
              <w:jc w:val="left"/>
              <w:rPr>
                <w:rFonts w:ascii="仿宋_GB2312" w:hAnsi="仿宋_GB2312" w:eastAsia="仿宋_GB2312" w:cs="仿宋_GB2312"/>
              </w:rPr>
            </w:pPr>
            <w:r>
              <w:rPr>
                <w:rFonts w:hint="eastAsia" w:ascii="仿宋_GB2312" w:hAnsi="仿宋_GB2312" w:eastAsia="仿宋_GB2312" w:cs="仿宋_GB2312"/>
              </w:rPr>
              <w:t>生均企业实习经费补贴</w:t>
            </w:r>
          </w:p>
        </w:tc>
        <w:tc>
          <w:tcPr>
            <w:tcW w:w="793" w:type="dxa"/>
            <w:tcBorders>
              <w:tl2br w:val="nil"/>
              <w:tr2bl w:val="nil"/>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元</w:t>
            </w:r>
          </w:p>
        </w:tc>
        <w:tc>
          <w:tcPr>
            <w:tcW w:w="1073"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w:t>
            </w:r>
          </w:p>
        </w:tc>
        <w:tc>
          <w:tcPr>
            <w:tcW w:w="1087"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w:t>
            </w:r>
          </w:p>
        </w:tc>
        <w:tc>
          <w:tcPr>
            <w:tcW w:w="1328"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30" w:type="dxa"/>
            <w:vMerge w:val="continue"/>
            <w:tcBorders>
              <w:tl2br w:val="nil"/>
              <w:tr2bl w:val="nil"/>
            </w:tcBorders>
            <w:vAlign w:val="center"/>
          </w:tcPr>
          <w:p>
            <w:pPr>
              <w:overflowPunct w:val="0"/>
              <w:jc w:val="left"/>
              <w:rPr>
                <w:rFonts w:ascii="仿宋_GB2312" w:hAnsi="仿宋_GB2312" w:eastAsia="仿宋_GB2312" w:cs="仿宋_GB2312"/>
                <w:b/>
              </w:rPr>
            </w:pPr>
          </w:p>
        </w:tc>
        <w:tc>
          <w:tcPr>
            <w:tcW w:w="771" w:type="dxa"/>
            <w:vMerge w:val="continue"/>
            <w:tcBorders>
              <w:tl2br w:val="nil"/>
              <w:tr2bl w:val="nil"/>
            </w:tcBorders>
            <w:vAlign w:val="center"/>
          </w:tcPr>
          <w:p>
            <w:pPr>
              <w:overflowPunct w:val="0"/>
              <w:jc w:val="left"/>
              <w:rPr>
                <w:rFonts w:ascii="仿宋_GB2312" w:hAnsi="仿宋_GB2312" w:eastAsia="仿宋_GB2312" w:cs="仿宋_GB2312"/>
                <w:b/>
              </w:rPr>
            </w:pPr>
          </w:p>
        </w:tc>
        <w:tc>
          <w:tcPr>
            <w:tcW w:w="619" w:type="dxa"/>
            <w:vMerge w:val="continue"/>
            <w:tcBorders>
              <w:tl2br w:val="nil"/>
              <w:tr2bl w:val="nil"/>
            </w:tcBorders>
            <w:vAlign w:val="center"/>
          </w:tcPr>
          <w:p>
            <w:pPr>
              <w:overflowPunct w:val="0"/>
              <w:jc w:val="left"/>
              <w:rPr>
                <w:rFonts w:ascii="仿宋_GB2312" w:hAnsi="仿宋_GB2312" w:eastAsia="仿宋_GB2312" w:cs="仿宋_GB2312"/>
                <w:b/>
              </w:rPr>
            </w:pPr>
          </w:p>
        </w:tc>
        <w:tc>
          <w:tcPr>
            <w:tcW w:w="2346" w:type="dxa"/>
            <w:tcBorders>
              <w:tl2br w:val="nil"/>
              <w:tr2bl w:val="nil"/>
            </w:tcBorders>
            <w:vAlign w:val="center"/>
          </w:tcPr>
          <w:p>
            <w:pPr>
              <w:jc w:val="left"/>
              <w:rPr>
                <w:rFonts w:ascii="仿宋_GB2312" w:hAnsi="仿宋_GB2312" w:eastAsia="仿宋_GB2312" w:cs="仿宋_GB2312"/>
              </w:rPr>
            </w:pPr>
            <w:r>
              <w:rPr>
                <w:rFonts w:hint="eastAsia" w:ascii="仿宋_GB2312" w:hAnsi="仿宋_GB2312" w:eastAsia="仿宋_GB2312" w:cs="仿宋_GB2312"/>
              </w:rPr>
              <w:t xml:space="preserve">  其中：生均财政专项补贴</w:t>
            </w:r>
          </w:p>
        </w:tc>
        <w:tc>
          <w:tcPr>
            <w:tcW w:w="793" w:type="dxa"/>
            <w:tcBorders>
              <w:tl2br w:val="nil"/>
              <w:tr2bl w:val="nil"/>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元</w:t>
            </w:r>
          </w:p>
        </w:tc>
        <w:tc>
          <w:tcPr>
            <w:tcW w:w="1073"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w:t>
            </w:r>
          </w:p>
        </w:tc>
        <w:tc>
          <w:tcPr>
            <w:tcW w:w="1087"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w:t>
            </w:r>
          </w:p>
        </w:tc>
        <w:tc>
          <w:tcPr>
            <w:tcW w:w="1328"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30" w:type="dxa"/>
            <w:vMerge w:val="continue"/>
            <w:tcBorders>
              <w:tl2br w:val="nil"/>
              <w:tr2bl w:val="nil"/>
            </w:tcBorders>
            <w:vAlign w:val="center"/>
          </w:tcPr>
          <w:p>
            <w:pPr>
              <w:overflowPunct w:val="0"/>
              <w:jc w:val="left"/>
              <w:rPr>
                <w:rFonts w:ascii="仿宋_GB2312" w:hAnsi="仿宋_GB2312" w:eastAsia="仿宋_GB2312" w:cs="仿宋_GB2312"/>
                <w:b/>
              </w:rPr>
            </w:pPr>
          </w:p>
        </w:tc>
        <w:tc>
          <w:tcPr>
            <w:tcW w:w="771" w:type="dxa"/>
            <w:vMerge w:val="continue"/>
            <w:tcBorders>
              <w:tl2br w:val="nil"/>
              <w:tr2bl w:val="nil"/>
            </w:tcBorders>
            <w:vAlign w:val="center"/>
          </w:tcPr>
          <w:p>
            <w:pPr>
              <w:overflowPunct w:val="0"/>
              <w:jc w:val="left"/>
              <w:rPr>
                <w:rFonts w:ascii="仿宋_GB2312" w:hAnsi="仿宋_GB2312" w:eastAsia="仿宋_GB2312" w:cs="仿宋_GB2312"/>
                <w:b/>
              </w:rPr>
            </w:pPr>
          </w:p>
        </w:tc>
        <w:tc>
          <w:tcPr>
            <w:tcW w:w="619" w:type="dxa"/>
            <w:vMerge w:val="restart"/>
            <w:tcBorders>
              <w:tl2br w:val="nil"/>
              <w:tr2bl w:val="nil"/>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5</w:t>
            </w:r>
          </w:p>
        </w:tc>
        <w:tc>
          <w:tcPr>
            <w:tcW w:w="2346" w:type="dxa"/>
            <w:tcBorders>
              <w:tl2br w:val="nil"/>
              <w:tr2bl w:val="nil"/>
            </w:tcBorders>
            <w:vAlign w:val="center"/>
          </w:tcPr>
          <w:p>
            <w:pPr>
              <w:jc w:val="left"/>
              <w:rPr>
                <w:rFonts w:ascii="仿宋_GB2312" w:hAnsi="仿宋_GB2312" w:eastAsia="仿宋_GB2312" w:cs="仿宋_GB2312"/>
              </w:rPr>
            </w:pPr>
            <w:r>
              <w:rPr>
                <w:rFonts w:hint="eastAsia" w:ascii="仿宋_GB2312" w:hAnsi="仿宋_GB2312" w:eastAsia="仿宋_GB2312" w:cs="仿宋_GB2312"/>
              </w:rPr>
              <w:t>生均企业实习责任保险补贴</w:t>
            </w:r>
          </w:p>
        </w:tc>
        <w:tc>
          <w:tcPr>
            <w:tcW w:w="793" w:type="dxa"/>
            <w:tcBorders>
              <w:tl2br w:val="nil"/>
              <w:tr2bl w:val="nil"/>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元</w:t>
            </w:r>
          </w:p>
        </w:tc>
        <w:tc>
          <w:tcPr>
            <w:tcW w:w="1073"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w:t>
            </w:r>
          </w:p>
        </w:tc>
        <w:tc>
          <w:tcPr>
            <w:tcW w:w="1087"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w:t>
            </w:r>
          </w:p>
        </w:tc>
        <w:tc>
          <w:tcPr>
            <w:tcW w:w="1328"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30" w:type="dxa"/>
            <w:vMerge w:val="continue"/>
            <w:tcBorders>
              <w:tl2br w:val="nil"/>
              <w:tr2bl w:val="nil"/>
            </w:tcBorders>
            <w:vAlign w:val="center"/>
          </w:tcPr>
          <w:p>
            <w:pPr>
              <w:overflowPunct w:val="0"/>
              <w:jc w:val="left"/>
              <w:rPr>
                <w:rFonts w:ascii="仿宋_GB2312" w:hAnsi="仿宋_GB2312" w:eastAsia="仿宋_GB2312" w:cs="仿宋_GB2312"/>
                <w:b/>
              </w:rPr>
            </w:pPr>
          </w:p>
        </w:tc>
        <w:tc>
          <w:tcPr>
            <w:tcW w:w="771" w:type="dxa"/>
            <w:vMerge w:val="continue"/>
            <w:tcBorders>
              <w:tl2br w:val="nil"/>
              <w:tr2bl w:val="nil"/>
            </w:tcBorders>
            <w:vAlign w:val="center"/>
          </w:tcPr>
          <w:p>
            <w:pPr>
              <w:overflowPunct w:val="0"/>
              <w:jc w:val="left"/>
              <w:rPr>
                <w:rFonts w:ascii="仿宋_GB2312" w:hAnsi="仿宋_GB2312" w:eastAsia="仿宋_GB2312" w:cs="仿宋_GB2312"/>
                <w:b/>
              </w:rPr>
            </w:pPr>
          </w:p>
        </w:tc>
        <w:tc>
          <w:tcPr>
            <w:tcW w:w="619" w:type="dxa"/>
            <w:vMerge w:val="continue"/>
            <w:tcBorders>
              <w:tl2br w:val="nil"/>
              <w:tr2bl w:val="nil"/>
            </w:tcBorders>
            <w:vAlign w:val="center"/>
          </w:tcPr>
          <w:p>
            <w:pPr>
              <w:overflowPunct w:val="0"/>
              <w:jc w:val="left"/>
              <w:rPr>
                <w:rFonts w:ascii="仿宋_GB2312" w:hAnsi="仿宋_GB2312" w:eastAsia="仿宋_GB2312" w:cs="仿宋_GB2312"/>
                <w:b/>
              </w:rPr>
            </w:pPr>
          </w:p>
        </w:tc>
        <w:tc>
          <w:tcPr>
            <w:tcW w:w="2346" w:type="dxa"/>
            <w:tcBorders>
              <w:tl2br w:val="nil"/>
              <w:tr2bl w:val="nil"/>
            </w:tcBorders>
            <w:vAlign w:val="center"/>
          </w:tcPr>
          <w:p>
            <w:pPr>
              <w:jc w:val="left"/>
              <w:rPr>
                <w:rFonts w:ascii="仿宋_GB2312" w:hAnsi="仿宋_GB2312" w:eastAsia="仿宋_GB2312" w:cs="仿宋_GB2312"/>
              </w:rPr>
            </w:pPr>
            <w:r>
              <w:rPr>
                <w:rFonts w:hint="eastAsia" w:ascii="仿宋_GB2312" w:hAnsi="仿宋_GB2312" w:eastAsia="仿宋_GB2312" w:cs="仿宋_GB2312"/>
              </w:rPr>
              <w:t xml:space="preserve">  其中，生均财政专项补贴</w:t>
            </w:r>
          </w:p>
        </w:tc>
        <w:tc>
          <w:tcPr>
            <w:tcW w:w="793" w:type="dxa"/>
            <w:tcBorders>
              <w:tl2br w:val="nil"/>
              <w:tr2bl w:val="nil"/>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元</w:t>
            </w:r>
          </w:p>
        </w:tc>
        <w:tc>
          <w:tcPr>
            <w:tcW w:w="1073"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w:t>
            </w:r>
          </w:p>
        </w:tc>
        <w:tc>
          <w:tcPr>
            <w:tcW w:w="1087"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w:t>
            </w:r>
          </w:p>
        </w:tc>
        <w:tc>
          <w:tcPr>
            <w:tcW w:w="1328"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30" w:type="dxa"/>
            <w:vMerge w:val="continue"/>
            <w:tcBorders>
              <w:tl2br w:val="nil"/>
              <w:tr2bl w:val="nil"/>
            </w:tcBorders>
            <w:vAlign w:val="center"/>
          </w:tcPr>
          <w:p>
            <w:pPr>
              <w:overflowPunct w:val="0"/>
              <w:jc w:val="left"/>
              <w:rPr>
                <w:rFonts w:ascii="仿宋_GB2312" w:hAnsi="仿宋_GB2312" w:eastAsia="仿宋_GB2312" w:cs="仿宋_GB2312"/>
                <w:b/>
              </w:rPr>
            </w:pPr>
          </w:p>
        </w:tc>
        <w:tc>
          <w:tcPr>
            <w:tcW w:w="771" w:type="dxa"/>
            <w:vMerge w:val="continue"/>
            <w:tcBorders>
              <w:tl2br w:val="nil"/>
              <w:tr2bl w:val="nil"/>
            </w:tcBorders>
            <w:vAlign w:val="center"/>
          </w:tcPr>
          <w:p>
            <w:pPr>
              <w:overflowPunct w:val="0"/>
              <w:jc w:val="left"/>
              <w:rPr>
                <w:rFonts w:ascii="仿宋_GB2312" w:hAnsi="仿宋_GB2312" w:eastAsia="仿宋_GB2312" w:cs="仿宋_GB2312"/>
                <w:b/>
              </w:rPr>
            </w:pPr>
          </w:p>
        </w:tc>
        <w:tc>
          <w:tcPr>
            <w:tcW w:w="619" w:type="dxa"/>
            <w:vMerge w:val="restart"/>
            <w:tcBorders>
              <w:tl2br w:val="nil"/>
              <w:tr2bl w:val="nil"/>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6</w:t>
            </w:r>
          </w:p>
        </w:tc>
        <w:tc>
          <w:tcPr>
            <w:tcW w:w="2346" w:type="dxa"/>
            <w:tcBorders>
              <w:tl2br w:val="nil"/>
              <w:tr2bl w:val="nil"/>
            </w:tcBorders>
            <w:vAlign w:val="center"/>
          </w:tcPr>
          <w:p>
            <w:pPr>
              <w:jc w:val="left"/>
              <w:rPr>
                <w:rFonts w:ascii="仿宋_GB2312" w:hAnsi="仿宋_GB2312" w:eastAsia="仿宋_GB2312" w:cs="仿宋_GB2312"/>
              </w:rPr>
            </w:pPr>
            <w:r>
              <w:rPr>
                <w:rFonts w:hint="eastAsia" w:ascii="仿宋_GB2312" w:hAnsi="仿宋_GB2312" w:eastAsia="仿宋_GB2312" w:cs="仿宋_GB2312"/>
              </w:rPr>
              <w:t>企业兼职教师年课时总量</w:t>
            </w:r>
          </w:p>
        </w:tc>
        <w:tc>
          <w:tcPr>
            <w:tcW w:w="793" w:type="dxa"/>
            <w:tcBorders>
              <w:tl2br w:val="nil"/>
              <w:tr2bl w:val="nil"/>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课时</w:t>
            </w:r>
          </w:p>
        </w:tc>
        <w:tc>
          <w:tcPr>
            <w:tcW w:w="1073"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6166</w:t>
            </w:r>
          </w:p>
        </w:tc>
        <w:tc>
          <w:tcPr>
            <w:tcW w:w="1087"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10457</w:t>
            </w:r>
          </w:p>
        </w:tc>
        <w:tc>
          <w:tcPr>
            <w:tcW w:w="1328"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69.59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30" w:type="dxa"/>
            <w:vMerge w:val="continue"/>
            <w:tcBorders>
              <w:tl2br w:val="nil"/>
              <w:tr2bl w:val="nil"/>
            </w:tcBorders>
            <w:vAlign w:val="center"/>
          </w:tcPr>
          <w:p>
            <w:pPr>
              <w:overflowPunct w:val="0"/>
              <w:jc w:val="left"/>
              <w:rPr>
                <w:rFonts w:ascii="仿宋_GB2312" w:hAnsi="仿宋_GB2312" w:eastAsia="仿宋_GB2312" w:cs="仿宋_GB2312"/>
                <w:b/>
              </w:rPr>
            </w:pPr>
          </w:p>
        </w:tc>
        <w:tc>
          <w:tcPr>
            <w:tcW w:w="771" w:type="dxa"/>
            <w:vMerge w:val="continue"/>
            <w:tcBorders>
              <w:tl2br w:val="nil"/>
              <w:tr2bl w:val="nil"/>
            </w:tcBorders>
            <w:vAlign w:val="center"/>
          </w:tcPr>
          <w:p>
            <w:pPr>
              <w:overflowPunct w:val="0"/>
              <w:jc w:val="left"/>
              <w:rPr>
                <w:rFonts w:ascii="仿宋_GB2312" w:hAnsi="仿宋_GB2312" w:eastAsia="仿宋_GB2312" w:cs="仿宋_GB2312"/>
                <w:b/>
              </w:rPr>
            </w:pPr>
          </w:p>
        </w:tc>
        <w:tc>
          <w:tcPr>
            <w:tcW w:w="619" w:type="dxa"/>
            <w:vMerge w:val="continue"/>
            <w:tcBorders>
              <w:tl2br w:val="nil"/>
              <w:tr2bl w:val="nil"/>
            </w:tcBorders>
            <w:vAlign w:val="center"/>
          </w:tcPr>
          <w:p>
            <w:pPr>
              <w:overflowPunct w:val="0"/>
              <w:jc w:val="left"/>
              <w:rPr>
                <w:rFonts w:ascii="仿宋_GB2312" w:hAnsi="仿宋_GB2312" w:eastAsia="仿宋_GB2312" w:cs="仿宋_GB2312"/>
                <w:b/>
              </w:rPr>
            </w:pPr>
          </w:p>
        </w:tc>
        <w:tc>
          <w:tcPr>
            <w:tcW w:w="2346" w:type="dxa"/>
            <w:tcBorders>
              <w:tl2br w:val="nil"/>
              <w:tr2bl w:val="nil"/>
            </w:tcBorders>
            <w:vAlign w:val="center"/>
          </w:tcPr>
          <w:p>
            <w:pPr>
              <w:jc w:val="left"/>
              <w:rPr>
                <w:rFonts w:ascii="仿宋_GB2312" w:hAnsi="仿宋_GB2312" w:eastAsia="仿宋_GB2312" w:cs="仿宋_GB2312"/>
              </w:rPr>
            </w:pPr>
            <w:r>
              <w:rPr>
                <w:rFonts w:hint="eastAsia" w:ascii="仿宋_GB2312" w:hAnsi="仿宋_GB2312" w:eastAsia="仿宋_GB2312" w:cs="仿宋_GB2312"/>
              </w:rPr>
              <w:t>年支付企业兼职教师课酬</w:t>
            </w:r>
          </w:p>
        </w:tc>
        <w:tc>
          <w:tcPr>
            <w:tcW w:w="793" w:type="dxa"/>
            <w:tcBorders>
              <w:tl2br w:val="nil"/>
              <w:tr2bl w:val="nil"/>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元</w:t>
            </w:r>
          </w:p>
        </w:tc>
        <w:tc>
          <w:tcPr>
            <w:tcW w:w="1073"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250000</w:t>
            </w:r>
          </w:p>
        </w:tc>
        <w:tc>
          <w:tcPr>
            <w:tcW w:w="1087"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420000</w:t>
            </w:r>
          </w:p>
        </w:tc>
        <w:tc>
          <w:tcPr>
            <w:tcW w:w="1328"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30" w:type="dxa"/>
            <w:vMerge w:val="continue"/>
            <w:tcBorders>
              <w:tl2br w:val="nil"/>
              <w:tr2bl w:val="nil"/>
            </w:tcBorders>
            <w:vAlign w:val="center"/>
          </w:tcPr>
          <w:p>
            <w:pPr>
              <w:overflowPunct w:val="0"/>
              <w:jc w:val="left"/>
              <w:rPr>
                <w:rFonts w:ascii="仿宋_GB2312" w:hAnsi="仿宋_GB2312" w:eastAsia="仿宋_GB2312" w:cs="仿宋_GB2312"/>
                <w:b/>
              </w:rPr>
            </w:pPr>
          </w:p>
        </w:tc>
        <w:tc>
          <w:tcPr>
            <w:tcW w:w="771" w:type="dxa"/>
            <w:vMerge w:val="continue"/>
            <w:tcBorders>
              <w:tl2br w:val="nil"/>
              <w:tr2bl w:val="nil"/>
            </w:tcBorders>
            <w:vAlign w:val="center"/>
          </w:tcPr>
          <w:p>
            <w:pPr>
              <w:overflowPunct w:val="0"/>
              <w:jc w:val="left"/>
              <w:rPr>
                <w:rFonts w:ascii="仿宋_GB2312" w:hAnsi="仿宋_GB2312" w:eastAsia="仿宋_GB2312" w:cs="仿宋_GB2312"/>
                <w:b/>
              </w:rPr>
            </w:pPr>
          </w:p>
        </w:tc>
        <w:tc>
          <w:tcPr>
            <w:tcW w:w="619" w:type="dxa"/>
            <w:vMerge w:val="continue"/>
            <w:tcBorders>
              <w:tl2br w:val="nil"/>
              <w:tr2bl w:val="nil"/>
            </w:tcBorders>
            <w:vAlign w:val="center"/>
          </w:tcPr>
          <w:p>
            <w:pPr>
              <w:overflowPunct w:val="0"/>
              <w:jc w:val="left"/>
              <w:rPr>
                <w:rFonts w:ascii="仿宋_GB2312" w:hAnsi="仿宋_GB2312" w:eastAsia="仿宋_GB2312" w:cs="仿宋_GB2312"/>
                <w:b/>
              </w:rPr>
            </w:pPr>
          </w:p>
        </w:tc>
        <w:tc>
          <w:tcPr>
            <w:tcW w:w="2346" w:type="dxa"/>
            <w:tcBorders>
              <w:tl2br w:val="nil"/>
              <w:tr2bl w:val="nil"/>
            </w:tcBorders>
            <w:vAlign w:val="center"/>
          </w:tcPr>
          <w:p>
            <w:pPr>
              <w:jc w:val="left"/>
              <w:rPr>
                <w:rFonts w:ascii="仿宋_GB2312" w:hAnsi="仿宋_GB2312" w:eastAsia="仿宋_GB2312" w:cs="仿宋_GB2312"/>
              </w:rPr>
            </w:pPr>
            <w:r>
              <w:rPr>
                <w:rFonts w:hint="eastAsia" w:ascii="仿宋_GB2312" w:hAnsi="仿宋_GB2312" w:eastAsia="仿宋_GB2312" w:cs="仿宋_GB2312"/>
              </w:rPr>
              <w:t xml:space="preserve">  其中，财政专项补贴</w:t>
            </w:r>
          </w:p>
        </w:tc>
        <w:tc>
          <w:tcPr>
            <w:tcW w:w="793" w:type="dxa"/>
            <w:tcBorders>
              <w:tl2br w:val="nil"/>
              <w:tr2bl w:val="nil"/>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元</w:t>
            </w:r>
          </w:p>
        </w:tc>
        <w:tc>
          <w:tcPr>
            <w:tcW w:w="1073" w:type="dxa"/>
            <w:tcBorders>
              <w:tl2br w:val="nil"/>
              <w:tr2bl w:val="nil"/>
            </w:tcBorders>
            <w:vAlign w:val="center"/>
          </w:tcPr>
          <w:p>
            <w:pPr>
              <w:overflowPunct w:val="0"/>
              <w:jc w:val="center"/>
              <w:rPr>
                <w:rFonts w:ascii="仿宋_GB2312" w:hAnsi="仿宋_GB2312" w:eastAsia="仿宋_GB2312" w:cs="仿宋_GB2312"/>
                <w:b/>
              </w:rPr>
            </w:pPr>
            <w:r>
              <w:rPr>
                <w:rFonts w:hint="eastAsia" w:ascii="仿宋_GB2312" w:hAnsi="仿宋_GB2312" w:eastAsia="仿宋_GB2312" w:cs="仿宋_GB2312"/>
                <w:b/>
              </w:rPr>
              <w:t>-</w:t>
            </w:r>
          </w:p>
        </w:tc>
        <w:tc>
          <w:tcPr>
            <w:tcW w:w="1087" w:type="dxa"/>
            <w:tcBorders>
              <w:tl2br w:val="nil"/>
              <w:tr2bl w:val="nil"/>
            </w:tcBorders>
            <w:vAlign w:val="center"/>
          </w:tcPr>
          <w:p>
            <w:pPr>
              <w:overflowPunct w:val="0"/>
              <w:jc w:val="center"/>
              <w:rPr>
                <w:rFonts w:ascii="仿宋_GB2312" w:hAnsi="仿宋_GB2312" w:eastAsia="仿宋_GB2312" w:cs="仿宋_GB2312"/>
                <w:b/>
              </w:rPr>
            </w:pPr>
            <w:r>
              <w:rPr>
                <w:rFonts w:hint="eastAsia" w:ascii="仿宋_GB2312" w:hAnsi="仿宋_GB2312" w:eastAsia="仿宋_GB2312" w:cs="仿宋_GB2312"/>
                <w:b/>
              </w:rPr>
              <w:t>-</w:t>
            </w:r>
          </w:p>
        </w:tc>
        <w:tc>
          <w:tcPr>
            <w:tcW w:w="1328" w:type="dxa"/>
            <w:tcBorders>
              <w:tl2br w:val="nil"/>
              <w:tr2bl w:val="nil"/>
            </w:tcBorders>
            <w:vAlign w:val="center"/>
          </w:tcPr>
          <w:p>
            <w:pPr>
              <w:overflowPunct w:val="0"/>
              <w:jc w:val="center"/>
              <w:rPr>
                <w:rFonts w:ascii="仿宋_GB2312" w:hAnsi="仿宋_GB2312" w:eastAsia="仿宋_GB2312" w:cs="仿宋_GB2312"/>
                <w:b/>
              </w:rPr>
            </w:pPr>
            <w:r>
              <w:rPr>
                <w:rFonts w:hint="eastAsia" w:ascii="仿宋_GB2312" w:hAnsi="仿宋_GB2312" w:eastAsia="仿宋_GB2312" w:cs="仿宋_GB2312"/>
                <w:b/>
              </w:rPr>
              <w:t>-</w:t>
            </w:r>
          </w:p>
        </w:tc>
      </w:tr>
    </w:tbl>
    <w:p>
      <w:pPr>
        <w:spacing w:line="560" w:lineRule="exact"/>
        <w:rPr>
          <w:rFonts w:ascii="仿宋_GB2312" w:hAnsi="Verdana" w:eastAsia="仿宋_GB2312"/>
          <w:b/>
          <w:sz w:val="28"/>
          <w:szCs w:val="28"/>
          <w:shd w:val="clear" w:color="auto" w:fill="FFFFFF"/>
        </w:rPr>
      </w:pPr>
      <w:r>
        <w:rPr>
          <w:rFonts w:hint="eastAsia" w:ascii="楷体_GB2312" w:eastAsia="楷体_GB2312"/>
          <w:b/>
          <w:sz w:val="32"/>
          <w:szCs w:val="32"/>
        </w:rPr>
        <w:t xml:space="preserve"> </w:t>
      </w:r>
      <w:bookmarkStart w:id="169" w:name="_Toc2835"/>
      <w:bookmarkStart w:id="170" w:name="_Toc762"/>
      <w:bookmarkStart w:id="171" w:name="_Toc31483"/>
      <w:bookmarkStart w:id="172" w:name="_Toc22111"/>
      <w:bookmarkStart w:id="173" w:name="_Toc1494"/>
      <w:bookmarkStart w:id="174" w:name="_Toc11696"/>
      <w:bookmarkStart w:id="175" w:name="_Toc10802"/>
      <w:r>
        <w:rPr>
          <w:rFonts w:hint="eastAsia" w:ascii="仿宋_GB2312" w:hAnsi="Verdana" w:eastAsia="仿宋_GB2312"/>
          <w:b/>
          <w:sz w:val="28"/>
          <w:szCs w:val="28"/>
          <w:shd w:val="clear" w:color="auto" w:fill="FFFFFF"/>
        </w:rPr>
        <w:t>4.2机制保障</w:t>
      </w:r>
      <w:bookmarkEnd w:id="169"/>
      <w:bookmarkEnd w:id="170"/>
      <w:bookmarkEnd w:id="171"/>
      <w:bookmarkEnd w:id="172"/>
      <w:bookmarkEnd w:id="173"/>
      <w:bookmarkEnd w:id="174"/>
      <w:bookmarkEnd w:id="175"/>
    </w:p>
    <w:p>
      <w:pPr>
        <w:spacing w:line="520" w:lineRule="exact"/>
        <w:ind w:firstLine="562" w:firstLineChars="200"/>
        <w:rPr>
          <w:rFonts w:ascii="仿宋_GB2312" w:hAnsi="Verdana" w:eastAsia="仿宋_GB2312"/>
          <w:b/>
          <w:sz w:val="28"/>
          <w:szCs w:val="28"/>
          <w:shd w:val="clear" w:color="auto" w:fill="FFFFFF"/>
        </w:rPr>
      </w:pPr>
      <w:r>
        <w:rPr>
          <w:rFonts w:hint="eastAsia" w:ascii="仿宋_GB2312" w:hAnsi="Verdana" w:eastAsia="仿宋_GB2312"/>
          <w:b/>
          <w:sz w:val="28"/>
          <w:szCs w:val="28"/>
          <w:shd w:val="clear" w:color="auto" w:fill="FFFFFF"/>
        </w:rPr>
        <w:t>（1）学校举办者有关内涵建设与质量提升的政策措施</w:t>
      </w:r>
    </w:p>
    <w:p>
      <w:pPr>
        <w:widowControl/>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邵阳市人民政府高度重视学院建设。中共邵阳市委、邵阳市人民政府出台《邵阳市创新创业适用人才引进办法》（邵市发</w:t>
      </w:r>
      <w:r>
        <w:rPr>
          <w:rFonts w:ascii="仿宋_GB2312" w:hAnsi="仿宋_GB2312" w:eastAsia="仿宋_GB2312" w:cs="仿宋_GB2312"/>
          <w:sz w:val="28"/>
          <w:szCs w:val="28"/>
        </w:rPr>
        <w:t>[2015]5</w:t>
      </w:r>
      <w:r>
        <w:rPr>
          <w:rFonts w:hint="eastAsia" w:ascii="仿宋_GB2312" w:hAnsi="仿宋_GB2312" w:eastAsia="仿宋_GB2312" w:cs="仿宋_GB2312"/>
          <w:sz w:val="28"/>
          <w:szCs w:val="28"/>
        </w:rPr>
        <w:t>号），我院高层次人才引进适用该办法，2016年引进的1名建筑工程技术专业带头人已到位。2017年有3名人才引进纳入市政府高层次年人才引进计划中。这项政策的实施，对提升学院教师队伍的整体素质起到了极大促进作用。</w:t>
      </w:r>
    </w:p>
    <w:p>
      <w:pPr>
        <w:widowControl/>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年来，市领导先后到我院考察指导工作，在今年4月举行的学院校企、校地和校社合作签约仪式上，市委常委、统战部长李志雄，邵阳市政协副主席、市政协文教卫体文史学习委主任、民进邵阳市委主委徐桂阳，邵阳市教育局副局长刘运礼参加。李志雄代表市委、市人民政府作讲话，他要求合作双方要积极融入市委市政府提出的“两中心一枢纽”战略，探索实施校地、校企、校会合作的路径，深化工学结合人才培养模式的改革，巩固“订单培养”模式，发展“校企、校地、校会融合”模式，探索“项目引领”模式，为邵阳产业转型升级培养、储备、输入一流的技能人才，助推邵阳经济发展，以优异的成绩向党的十九大献礼。10月，副市长李华和到校检查工作，在观看了电梯实训车间之后，对我院在校企合作方面取得的成绩感到很满意。他认为,学院在转型发展上已经取得了实质性进展，就财政支持学院政策听取了学院的意见，表示要尽快出台相关政策。</w:t>
      </w:r>
    </w:p>
    <w:p>
      <w:pPr>
        <w:overflowPunct w:val="0"/>
        <w:spacing w:line="520" w:lineRule="exact"/>
        <w:ind w:firstLine="562" w:firstLineChars="200"/>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（2）学校促进质量提升的政策措施</w:t>
      </w:r>
    </w:p>
    <w:p>
      <w:pPr>
        <w:spacing w:line="520" w:lineRule="exact"/>
        <w:ind w:firstLine="560" w:firstLineChars="200"/>
        <w:rPr>
          <w:rFonts w:ascii="仿宋_GB2312" w:hAnsi="Verdana" w:eastAsia="仿宋_GB2312"/>
          <w:sz w:val="28"/>
          <w:szCs w:val="28"/>
          <w:shd w:val="clear" w:color="auto" w:fill="FFFFFF"/>
        </w:rPr>
      </w:pPr>
      <w:r>
        <w:rPr>
          <w:rFonts w:hint="eastAsia" w:ascii="仿宋_GB2312" w:hAnsi="Verdana" w:eastAsia="仿宋_GB2312"/>
          <w:sz w:val="28"/>
          <w:szCs w:val="28"/>
          <w:shd w:val="clear" w:color="auto" w:fill="FFFFFF"/>
        </w:rPr>
        <w:t>坚持和完善党委领导下的校长负责制作为全面推进依法治校和推进治理机制和能力现代化的重点，</w:t>
      </w:r>
      <w:r>
        <w:rPr>
          <w:rFonts w:hint="eastAsia" w:ascii="仿宋_GB2312" w:hAnsi="Verdana" w:eastAsia="仿宋_GB2312"/>
          <w:bCs/>
          <w:sz w:val="28"/>
          <w:szCs w:val="28"/>
          <w:shd w:val="clear" w:color="auto" w:fill="FFFFFF"/>
        </w:rPr>
        <w:t>建立健全民主科学规范的决策机制、沟通机制和监督机制，</w:t>
      </w:r>
      <w:r>
        <w:rPr>
          <w:rFonts w:hint="eastAsia" w:ascii="仿宋_GB2312" w:hAnsi="Verdana" w:eastAsia="仿宋_GB2312"/>
          <w:sz w:val="28"/>
          <w:szCs w:val="28"/>
          <w:shd w:val="clear" w:color="auto" w:fill="FFFFFF"/>
        </w:rPr>
        <w:t>注重顶层规划、全面统筹实施，学院领导班子贯彻执行能力和水平明显增强，办学治校能力显著提高。</w:t>
      </w:r>
    </w:p>
    <w:p>
      <w:pPr>
        <w:spacing w:line="520" w:lineRule="exact"/>
        <w:ind w:firstLine="560" w:firstLineChars="200"/>
        <w:rPr>
          <w:rFonts w:ascii="仿宋_GB2312" w:hAnsi="Verdana" w:eastAsia="仿宋_GB2312"/>
          <w:sz w:val="28"/>
          <w:szCs w:val="28"/>
          <w:shd w:val="clear" w:color="auto" w:fill="FFFFFF"/>
        </w:rPr>
      </w:pPr>
      <w:r>
        <w:rPr>
          <w:rFonts w:hint="eastAsia" w:ascii="仿宋_GB2312" w:hAnsi="Verdana" w:eastAsia="仿宋_GB2312"/>
          <w:sz w:val="28"/>
          <w:szCs w:val="28"/>
          <w:shd w:val="clear" w:color="auto" w:fill="FFFFFF"/>
        </w:rPr>
        <w:t>构建全员全过程的内部质量保证体系，新成立专门的质量管理机构——质量监控办公室，出台《邵阳职业技术学院内部质量保证体系建设与运行方案》，并组织实施。</w:t>
      </w:r>
    </w:p>
    <w:p>
      <w:pPr>
        <w:spacing w:line="520" w:lineRule="exact"/>
        <w:ind w:firstLine="560" w:firstLineChars="200"/>
        <w:rPr>
          <w:rFonts w:ascii="仿宋_GB2312" w:hAnsi="Verdana" w:eastAsia="仿宋_GB2312"/>
          <w:sz w:val="28"/>
          <w:szCs w:val="28"/>
          <w:shd w:val="clear" w:color="auto" w:fill="FFFFFF"/>
        </w:rPr>
      </w:pPr>
      <w:r>
        <w:rPr>
          <w:rFonts w:hint="eastAsia" w:ascii="仿宋_GB2312" w:hAnsi="Verdana" w:eastAsia="仿宋_GB2312"/>
          <w:sz w:val="28"/>
          <w:szCs w:val="28"/>
          <w:shd w:val="clear" w:color="auto" w:fill="FFFFFF"/>
        </w:rPr>
        <w:t>坚持开展教学系（部）目标管理工作，以专业建设、课程建设、师资队伍建设、实习实训基地建设、校企合作、信息化教学等内涵建设质量指标完成情况作为考核教学系（部）的主要内容，保证教学质量持续不断上升。</w:t>
      </w:r>
    </w:p>
    <w:p>
      <w:pPr>
        <w:spacing w:line="520" w:lineRule="exact"/>
        <w:ind w:firstLine="640"/>
        <w:rPr>
          <w:rFonts w:ascii="仿宋_GB2312" w:eastAsia="仿宋_GB2312"/>
          <w:sz w:val="28"/>
          <w:szCs w:val="28"/>
        </w:rPr>
      </w:pPr>
      <w:r>
        <w:rPr>
          <w:rFonts w:hint="eastAsia" w:ascii="仿宋_GB2312" w:eastAsia="仿宋_GB2312"/>
          <w:sz w:val="28"/>
          <w:szCs w:val="28"/>
        </w:rPr>
        <w:t>对质量突出人员进行奖励，修订了竞赛管理办法，对学院教职工和学生参加各类竞赛的奖励标准；首次在全院评比“十佳教师”4人，起到良好示范作用。</w:t>
      </w:r>
    </w:p>
    <w:p>
      <w:pPr>
        <w:spacing w:line="520" w:lineRule="exact"/>
        <w:rPr>
          <w:rFonts w:ascii="仿宋_GB2312" w:eastAsia="仿宋_GB2312"/>
          <w:sz w:val="28"/>
          <w:szCs w:val="28"/>
        </w:rPr>
      </w:pPr>
      <w:r>
        <w:rPr>
          <w:rFonts w:hint="eastAsia" w:ascii="仿宋_GB2312" w:eastAsia="仿宋_GB2312"/>
          <w:sz w:val="28"/>
          <w:szCs w:val="28"/>
        </w:rPr>
        <w:t xml:space="preserve">   </w:t>
      </w:r>
      <w:r>
        <w:rPr>
          <w:rFonts w:hint="eastAsia" w:ascii="仿宋_GB2312" w:eastAsia="仿宋_GB2312"/>
          <w:b/>
          <w:bCs/>
          <w:sz w:val="28"/>
          <w:szCs w:val="28"/>
        </w:rPr>
        <w:t>（3）举办者对学校内涵建设投入（不含生均拨款）</w:t>
      </w:r>
    </w:p>
    <w:p>
      <w:pPr>
        <w:spacing w:line="520" w:lineRule="exact"/>
        <w:ind w:firstLine="560" w:firstLineChars="200"/>
        <w:rPr>
          <w:rFonts w:ascii="仿宋_GB2312" w:eastAsia="仿宋_GB2312"/>
          <w:sz w:val="28"/>
          <w:szCs w:val="28"/>
        </w:rPr>
      </w:pPr>
      <w:r>
        <w:rPr>
          <w:rFonts w:hint="eastAsia" w:ascii="仿宋_GB2312" w:eastAsia="仿宋_GB2312"/>
          <w:sz w:val="28"/>
          <w:szCs w:val="28"/>
        </w:rPr>
        <w:t>邵阳市政府在财政极为紧张的情况下，配套我院湖南省示范性特色专业群项目和电梯工程技术生产性实习实训基地建设项目，投入资金200万元。</w:t>
      </w:r>
    </w:p>
    <w:p>
      <w:pPr>
        <w:spacing w:line="520" w:lineRule="exact"/>
        <w:ind w:firstLine="562" w:firstLineChars="200"/>
        <w:rPr>
          <w:rFonts w:ascii="仿宋_GB2312" w:eastAsia="仿宋_GB2312"/>
          <w:b/>
          <w:bCs/>
          <w:sz w:val="28"/>
          <w:szCs w:val="28"/>
        </w:rPr>
      </w:pPr>
      <w:r>
        <w:rPr>
          <w:rFonts w:hint="eastAsia" w:ascii="仿宋_GB2312" w:eastAsia="仿宋_GB2312"/>
          <w:b/>
          <w:bCs/>
          <w:sz w:val="28"/>
          <w:szCs w:val="28"/>
        </w:rPr>
        <w:t>（4）学校内涵建设投入</w:t>
      </w:r>
    </w:p>
    <w:p>
      <w:pPr>
        <w:spacing w:line="520" w:lineRule="exact"/>
        <w:ind w:firstLine="560" w:firstLineChars="200"/>
        <w:rPr>
          <w:rFonts w:ascii="仿宋_GB2312" w:eastAsia="仿宋_GB2312"/>
          <w:sz w:val="28"/>
          <w:szCs w:val="28"/>
        </w:rPr>
      </w:pPr>
      <w:r>
        <w:rPr>
          <w:rFonts w:hint="eastAsia" w:ascii="仿宋_GB2312" w:eastAsia="仿宋_GB2312"/>
          <w:sz w:val="28"/>
          <w:szCs w:val="28"/>
        </w:rPr>
        <w:t>学院2017年内涵建设投入</w:t>
      </w:r>
      <w:r>
        <w:rPr>
          <w:rFonts w:hint="eastAsia" w:ascii="仿宋_GB2312" w:eastAsia="仿宋_GB2312"/>
          <w:sz w:val="28"/>
          <w:szCs w:val="28"/>
          <w:lang w:val="en-US" w:eastAsia="zh-CN"/>
        </w:rPr>
        <w:t>1</w:t>
      </w:r>
      <w:r>
        <w:rPr>
          <w:rFonts w:hint="eastAsia" w:ascii="仿宋_GB2312" w:eastAsia="仿宋_GB2312"/>
          <w:sz w:val="28"/>
          <w:szCs w:val="28"/>
        </w:rPr>
        <w:t>993.32万元，</w:t>
      </w:r>
      <w:r>
        <w:rPr>
          <w:rFonts w:hint="eastAsia" w:ascii="仿宋_GB2312" w:eastAsia="仿宋_GB2312"/>
          <w:sz w:val="28"/>
          <w:szCs w:val="28"/>
          <w:lang w:eastAsia="zh-CN"/>
        </w:rPr>
        <w:t>比上年增加</w:t>
      </w:r>
      <w:r>
        <w:rPr>
          <w:rFonts w:hint="eastAsia" w:ascii="仿宋_GB2312" w:eastAsia="仿宋_GB2312"/>
          <w:sz w:val="28"/>
          <w:szCs w:val="28"/>
          <w:lang w:val="en-US" w:eastAsia="zh-CN"/>
        </w:rPr>
        <w:t>908.27万元，</w:t>
      </w:r>
      <w:r>
        <w:rPr>
          <w:rFonts w:hint="eastAsia" w:ascii="仿宋_GB2312" w:eastAsia="仿宋_GB2312"/>
          <w:sz w:val="28"/>
          <w:szCs w:val="28"/>
        </w:rPr>
        <w:t>其中</w:t>
      </w:r>
      <w:r>
        <w:rPr>
          <w:rFonts w:hint="eastAsia" w:ascii="仿宋_GB2312" w:eastAsia="仿宋_GB2312"/>
          <w:sz w:val="28"/>
          <w:szCs w:val="28"/>
          <w:lang w:eastAsia="zh-CN"/>
        </w:rPr>
        <w:t>教学仪器设备增加</w:t>
      </w:r>
      <w:r>
        <w:rPr>
          <w:rFonts w:hint="eastAsia" w:ascii="仿宋_GB2312" w:eastAsia="仿宋_GB2312"/>
          <w:sz w:val="28"/>
          <w:szCs w:val="28"/>
          <w:lang w:val="en-US" w:eastAsia="zh-CN"/>
        </w:rPr>
        <w:t>731.2万元，同比大幅增加113.55%；</w:t>
      </w:r>
      <w:r>
        <w:rPr>
          <w:rFonts w:hint="eastAsia" w:ascii="仿宋_GB2312" w:eastAsia="仿宋_GB2312"/>
          <w:sz w:val="28"/>
          <w:szCs w:val="28"/>
        </w:rPr>
        <w:t>师资队伍建设投入41.71万元，同比大幅增加123</w:t>
      </w:r>
      <w:r>
        <w:rPr>
          <w:rFonts w:hint="eastAsia" w:ascii="仿宋_GB2312" w:eastAsia="仿宋_GB2312"/>
          <w:sz w:val="28"/>
          <w:szCs w:val="28"/>
          <w:lang w:val="en-US" w:eastAsia="zh-CN"/>
        </w:rPr>
        <w:t>.11</w:t>
      </w:r>
      <w:r>
        <w:rPr>
          <w:rFonts w:hint="eastAsia" w:ascii="仿宋_GB2312" w:eastAsia="仿宋_GB2312"/>
          <w:sz w:val="28"/>
          <w:szCs w:val="28"/>
        </w:rPr>
        <w:t>%。</w:t>
      </w:r>
    </w:p>
    <w:p>
      <w:pPr>
        <w:spacing w:line="520" w:lineRule="exact"/>
        <w:ind w:firstLine="562" w:firstLineChars="200"/>
        <w:rPr>
          <w:rFonts w:ascii="仿宋_GB2312" w:eastAsia="仿宋_GB2312"/>
          <w:b/>
          <w:bCs/>
          <w:sz w:val="28"/>
          <w:szCs w:val="28"/>
        </w:rPr>
      </w:pPr>
      <w:r>
        <w:rPr>
          <w:rFonts w:hint="eastAsia" w:ascii="仿宋_GB2312" w:eastAsia="仿宋_GB2312"/>
          <w:b/>
          <w:bCs/>
          <w:sz w:val="28"/>
          <w:szCs w:val="28"/>
        </w:rPr>
        <w:t>（5）创新发展行动计划推进</w:t>
      </w:r>
    </w:p>
    <w:p>
      <w:pPr>
        <w:spacing w:line="520" w:lineRule="exact"/>
        <w:ind w:firstLine="560" w:firstLineChars="200"/>
        <w:rPr>
          <w:rFonts w:ascii="黑体" w:hAnsi="黑体" w:eastAsia="黑体" w:cs="黑体"/>
          <w:sz w:val="32"/>
          <w:szCs w:val="32"/>
        </w:rPr>
      </w:pPr>
      <w:r>
        <w:rPr>
          <w:rFonts w:hint="eastAsia" w:ascii="仿宋_GB2312" w:eastAsia="仿宋_GB2312"/>
          <w:sz w:val="28"/>
          <w:szCs w:val="28"/>
        </w:rPr>
        <w:t>学院制定了《邵阳职业技术学院创新发展行动计划（2016——2018）实施方案》，2017年按照计划启动或实施36项任务，任务启动率97%；启动或实施11个建设项目，项目启动率92%。通过实施创新发展行动，校企、校政、校会合作深入推进，学院整体办学水平大幅提升，社会美誉度进一步提高。</w:t>
      </w:r>
    </w:p>
    <w:p>
      <w:pPr>
        <w:spacing w:line="520" w:lineRule="exact"/>
        <w:rPr>
          <w:rFonts w:ascii="黑体" w:hAnsi="黑体" w:eastAsia="黑体" w:cs="黑体"/>
          <w:sz w:val="32"/>
          <w:szCs w:val="32"/>
        </w:rPr>
      </w:pPr>
    </w:p>
    <w:p>
      <w:pPr>
        <w:spacing w:line="520" w:lineRule="exact"/>
        <w:rPr>
          <w:rFonts w:ascii="黑体" w:hAnsi="黑体" w:eastAsia="黑体" w:cs="黑体"/>
          <w:sz w:val="32"/>
          <w:szCs w:val="32"/>
        </w:rPr>
      </w:pPr>
    </w:p>
    <w:p>
      <w:pPr>
        <w:spacing w:line="520" w:lineRule="exact"/>
        <w:rPr>
          <w:rFonts w:ascii="黑体" w:hAnsi="黑体" w:eastAsia="黑体" w:cs="黑体"/>
          <w:sz w:val="32"/>
          <w:szCs w:val="32"/>
        </w:rPr>
      </w:pPr>
    </w:p>
    <w:p>
      <w:pPr>
        <w:spacing w:line="520" w:lineRule="exact"/>
        <w:rPr>
          <w:rFonts w:ascii="黑体" w:hAnsi="黑体" w:eastAsia="黑体" w:cs="黑体"/>
          <w:sz w:val="32"/>
          <w:szCs w:val="32"/>
        </w:rPr>
      </w:pPr>
    </w:p>
    <w:p>
      <w:pPr>
        <w:spacing w:line="520" w:lineRule="exact"/>
        <w:rPr>
          <w:rFonts w:ascii="黑体" w:hAnsi="黑体" w:eastAsia="黑体" w:cs="黑体"/>
          <w:sz w:val="32"/>
          <w:szCs w:val="32"/>
        </w:rPr>
      </w:pPr>
    </w:p>
    <w:p>
      <w:pPr>
        <w:spacing w:line="520" w:lineRule="exact"/>
        <w:rPr>
          <w:rFonts w:ascii="黑体" w:hAnsi="黑体" w:eastAsia="黑体" w:cs="黑体"/>
          <w:sz w:val="32"/>
          <w:szCs w:val="32"/>
        </w:rPr>
      </w:pPr>
      <w:bookmarkStart w:id="176" w:name="_Toc14004"/>
    </w:p>
    <w:p>
      <w:pPr>
        <w:spacing w:line="520" w:lineRule="exact"/>
        <w:rPr>
          <w:rFonts w:ascii="黑体" w:hAnsi="黑体" w:eastAsia="黑体" w:cs="黑体"/>
          <w:sz w:val="32"/>
          <w:szCs w:val="32"/>
        </w:rPr>
      </w:pPr>
      <w:bookmarkStart w:id="177" w:name="_Toc20946"/>
      <w:bookmarkStart w:id="178" w:name="_Toc6511"/>
      <w:bookmarkStart w:id="179" w:name="_Toc23627"/>
      <w:bookmarkStart w:id="180" w:name="_Toc15278"/>
      <w:bookmarkStart w:id="181" w:name="_Toc7538"/>
      <w:bookmarkStart w:id="182" w:name="_Toc32352"/>
      <w:r>
        <w:rPr>
          <w:rFonts w:hint="eastAsia" w:ascii="黑体" w:hAnsi="黑体" w:eastAsia="黑体" w:cs="黑体"/>
          <w:sz w:val="32"/>
          <w:szCs w:val="32"/>
        </w:rPr>
        <w:t>5.国际合作</w:t>
      </w:r>
      <w:bookmarkEnd w:id="176"/>
      <w:bookmarkEnd w:id="177"/>
      <w:bookmarkEnd w:id="178"/>
      <w:bookmarkEnd w:id="179"/>
      <w:bookmarkEnd w:id="180"/>
      <w:bookmarkEnd w:id="181"/>
      <w:bookmarkEnd w:id="182"/>
    </w:p>
    <w:p>
      <w:pPr>
        <w:overflowPunct w:val="0"/>
        <w:spacing w:line="480" w:lineRule="exact"/>
        <w:jc w:val="left"/>
        <w:rPr>
          <w:rFonts w:ascii="仿宋_GB2312" w:eastAsia="仿宋_GB2312"/>
          <w:b/>
          <w:bCs/>
          <w:sz w:val="28"/>
          <w:szCs w:val="28"/>
        </w:rPr>
      </w:pPr>
      <w:bookmarkStart w:id="183" w:name="_Toc29055"/>
      <w:bookmarkStart w:id="184" w:name="_Toc5995"/>
      <w:bookmarkStart w:id="185" w:name="_Toc26669"/>
      <w:bookmarkStart w:id="186" w:name="_Toc2469"/>
      <w:bookmarkStart w:id="187" w:name="_Toc10063"/>
      <w:bookmarkStart w:id="188" w:name="_Toc9078"/>
      <w:r>
        <w:rPr>
          <w:rFonts w:hint="eastAsia" w:ascii="仿宋_GB2312" w:eastAsia="仿宋_GB2312"/>
          <w:b/>
          <w:bCs/>
          <w:sz w:val="28"/>
          <w:szCs w:val="28"/>
        </w:rPr>
        <w:t>5.1 国际影响力</w:t>
      </w:r>
      <w:bookmarkEnd w:id="183"/>
      <w:bookmarkEnd w:id="184"/>
      <w:bookmarkEnd w:id="185"/>
      <w:bookmarkEnd w:id="186"/>
      <w:bookmarkEnd w:id="187"/>
      <w:bookmarkEnd w:id="188"/>
    </w:p>
    <w:p>
      <w:pPr>
        <w:overflowPunct w:val="0"/>
        <w:spacing w:line="480" w:lineRule="exact"/>
        <w:ind w:firstLine="560" w:firstLineChars="200"/>
        <w:rPr>
          <w:rFonts w:ascii="仿宋_GB2312" w:eastAsia="仿宋_GB2312"/>
          <w:sz w:val="28"/>
          <w:szCs w:val="28"/>
        </w:rPr>
      </w:pPr>
      <w:r>
        <w:rPr>
          <w:rFonts w:hint="eastAsia" w:ascii="仿宋_GB2312" w:eastAsia="仿宋_GB2312"/>
          <w:sz w:val="28"/>
          <w:szCs w:val="28"/>
        </w:rPr>
        <w:t>学院近几年来高度重视国际合作工作，与多所国外院校进行了洽谈，但尚未取得实质效果，国际影响力低。</w:t>
      </w:r>
    </w:p>
    <w:p>
      <w:pPr>
        <w:overflowPunct w:val="0"/>
        <w:spacing w:line="480" w:lineRule="exact"/>
        <w:jc w:val="center"/>
        <w:rPr>
          <w:rFonts w:ascii="仿宋_GB2312" w:hAnsi="仿宋_GB2312" w:eastAsia="仿宋_GB2312" w:cs="仿宋_GB2312"/>
          <w:b/>
          <w:sz w:val="24"/>
          <w:szCs w:val="24"/>
        </w:rPr>
      </w:pPr>
      <w:r>
        <w:rPr>
          <w:rFonts w:hint="eastAsia" w:ascii="仿宋_GB2312" w:hAnsi="仿宋_GB2312" w:eastAsia="仿宋_GB2312" w:cs="仿宋_GB2312"/>
          <w:b/>
          <w:sz w:val="24"/>
          <w:szCs w:val="24"/>
        </w:rPr>
        <w:t>表5-1 国际影响表</w:t>
      </w:r>
    </w:p>
    <w:tbl>
      <w:tblPr>
        <w:tblStyle w:val="9"/>
        <w:tblW w:w="8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690"/>
        <w:gridCol w:w="420"/>
        <w:gridCol w:w="4560"/>
        <w:gridCol w:w="690"/>
        <w:gridCol w:w="735"/>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tcBorders>
              <w:top w:val="single" w:color="auto" w:sz="12" w:space="0"/>
              <w:left w:val="single" w:color="auto" w:sz="12" w:space="0"/>
              <w:bottom w:val="single" w:color="auto" w:sz="4" w:space="0"/>
              <w:right w:val="single" w:color="auto" w:sz="4" w:space="0"/>
            </w:tcBorders>
            <w:vAlign w:val="center"/>
          </w:tcPr>
          <w:p>
            <w:pPr>
              <w:jc w:val="center"/>
              <w:rPr>
                <w:rFonts w:ascii="仿宋_GB2312" w:hAnsi="仿宋_GB2312" w:eastAsia="仿宋_GB2312" w:cs="仿宋_GB2312"/>
                <w:b/>
              </w:rPr>
            </w:pPr>
            <w:r>
              <w:rPr>
                <w:rFonts w:hint="eastAsia" w:ascii="仿宋_GB2312" w:hAnsi="仿宋_GB2312" w:eastAsia="仿宋_GB2312" w:cs="仿宋_GB2312"/>
                <w:b/>
              </w:rPr>
              <w:t>院校</w:t>
            </w:r>
          </w:p>
          <w:p>
            <w:pPr>
              <w:jc w:val="center"/>
              <w:rPr>
                <w:rFonts w:ascii="仿宋_GB2312" w:hAnsi="仿宋_GB2312" w:eastAsia="仿宋_GB2312" w:cs="仿宋_GB2312"/>
                <w:b/>
              </w:rPr>
            </w:pPr>
            <w:r>
              <w:rPr>
                <w:rFonts w:hint="eastAsia" w:ascii="仿宋_GB2312" w:hAnsi="仿宋_GB2312" w:eastAsia="仿宋_GB2312" w:cs="仿宋_GB2312"/>
                <w:b/>
              </w:rPr>
              <w:t>代码</w:t>
            </w:r>
          </w:p>
        </w:tc>
        <w:tc>
          <w:tcPr>
            <w:tcW w:w="690" w:type="dxa"/>
            <w:tcBorders>
              <w:top w:val="single" w:color="auto" w:sz="12"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b/>
              </w:rPr>
            </w:pPr>
            <w:r>
              <w:rPr>
                <w:rFonts w:hint="eastAsia" w:ascii="仿宋_GB2312" w:hAnsi="仿宋_GB2312" w:eastAsia="仿宋_GB2312" w:cs="仿宋_GB2312"/>
                <w:b/>
              </w:rPr>
              <w:t>院校</w:t>
            </w:r>
          </w:p>
          <w:p>
            <w:pPr>
              <w:jc w:val="center"/>
              <w:rPr>
                <w:rFonts w:ascii="仿宋_GB2312" w:hAnsi="仿宋_GB2312" w:eastAsia="仿宋_GB2312" w:cs="仿宋_GB2312"/>
                <w:b/>
              </w:rPr>
            </w:pPr>
            <w:r>
              <w:rPr>
                <w:rFonts w:hint="eastAsia" w:ascii="仿宋_GB2312" w:hAnsi="仿宋_GB2312" w:eastAsia="仿宋_GB2312" w:cs="仿宋_GB2312"/>
                <w:b/>
              </w:rPr>
              <w:t>名称</w:t>
            </w:r>
          </w:p>
        </w:tc>
        <w:tc>
          <w:tcPr>
            <w:tcW w:w="4980" w:type="dxa"/>
            <w:gridSpan w:val="2"/>
            <w:tcBorders>
              <w:top w:val="single" w:color="auto" w:sz="12" w:space="0"/>
              <w:left w:val="single" w:color="auto" w:sz="4" w:space="0"/>
              <w:bottom w:val="single" w:color="auto" w:sz="4" w:space="0"/>
              <w:right w:val="single" w:color="auto" w:sz="4" w:space="0"/>
            </w:tcBorders>
            <w:vAlign w:val="center"/>
          </w:tcPr>
          <w:p>
            <w:pPr>
              <w:overflowPunct w:val="0"/>
              <w:jc w:val="center"/>
              <w:rPr>
                <w:rFonts w:ascii="仿宋_GB2312" w:hAnsi="仿宋_GB2312" w:eastAsia="仿宋_GB2312" w:cs="仿宋_GB2312"/>
                <w:b/>
              </w:rPr>
            </w:pPr>
            <w:r>
              <w:rPr>
                <w:rFonts w:hint="eastAsia" w:ascii="仿宋_GB2312" w:hAnsi="仿宋_GB2312" w:eastAsia="仿宋_GB2312" w:cs="仿宋_GB2312"/>
                <w:b/>
              </w:rPr>
              <w:t>指  标</w:t>
            </w:r>
          </w:p>
        </w:tc>
        <w:tc>
          <w:tcPr>
            <w:tcW w:w="690" w:type="dxa"/>
            <w:tcBorders>
              <w:top w:val="single" w:color="auto" w:sz="12"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b/>
              </w:rPr>
            </w:pPr>
            <w:r>
              <w:rPr>
                <w:rFonts w:hint="eastAsia" w:ascii="仿宋_GB2312" w:hAnsi="仿宋_GB2312" w:eastAsia="仿宋_GB2312" w:cs="仿宋_GB2312"/>
                <w:b/>
              </w:rPr>
              <w:t>单位</w:t>
            </w:r>
          </w:p>
        </w:tc>
        <w:tc>
          <w:tcPr>
            <w:tcW w:w="735"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b/>
                <w:bCs/>
              </w:rPr>
            </w:pPr>
            <w:r>
              <w:rPr>
                <w:rFonts w:hint="eastAsia" w:ascii="Times New Roman" w:hAnsi="Times New Roman" w:eastAsia="仿宋_GB2312"/>
                <w:b/>
                <w:bCs/>
              </w:rPr>
              <w:t>2016</w:t>
            </w:r>
          </w:p>
          <w:p>
            <w:pPr>
              <w:jc w:val="center"/>
              <w:rPr>
                <w:rFonts w:ascii="仿宋_GB2312" w:hAnsi="仿宋_GB2312" w:eastAsia="仿宋_GB2312" w:cs="仿宋_GB2312"/>
                <w:b/>
              </w:rPr>
            </w:pPr>
            <w:r>
              <w:rPr>
                <w:rFonts w:hint="eastAsia" w:ascii="仿宋_GB2312" w:hAnsi="仿宋_GB2312" w:eastAsia="仿宋_GB2312" w:cs="仿宋_GB2312"/>
                <w:b/>
              </w:rPr>
              <w:t>年</w:t>
            </w:r>
          </w:p>
        </w:tc>
        <w:tc>
          <w:tcPr>
            <w:tcW w:w="705" w:type="dxa"/>
            <w:tcBorders>
              <w:top w:val="single" w:color="auto" w:sz="12" w:space="0"/>
              <w:left w:val="single" w:color="auto" w:sz="4" w:space="0"/>
              <w:bottom w:val="single" w:color="auto" w:sz="4" w:space="0"/>
              <w:right w:val="single" w:color="auto" w:sz="12" w:space="0"/>
            </w:tcBorders>
            <w:vAlign w:val="center"/>
          </w:tcPr>
          <w:p>
            <w:pPr>
              <w:jc w:val="center"/>
              <w:rPr>
                <w:rFonts w:hint="eastAsia" w:ascii="Times New Roman" w:hAnsi="Times New Roman" w:eastAsia="仿宋_GB2312"/>
                <w:b/>
                <w:bCs/>
              </w:rPr>
            </w:pPr>
            <w:r>
              <w:rPr>
                <w:rFonts w:hint="eastAsia" w:ascii="Times New Roman" w:hAnsi="Times New Roman" w:eastAsia="仿宋_GB2312"/>
                <w:b/>
                <w:bCs/>
              </w:rPr>
              <w:t>2017</w:t>
            </w:r>
          </w:p>
          <w:p>
            <w:pPr>
              <w:jc w:val="center"/>
              <w:rPr>
                <w:rFonts w:ascii="仿宋_GB2312" w:hAnsi="仿宋_GB2312" w:eastAsia="仿宋_GB2312" w:cs="仿宋_GB2312"/>
                <w:b/>
              </w:rPr>
            </w:pPr>
            <w:r>
              <w:rPr>
                <w:rFonts w:hint="eastAsia" w:ascii="仿宋_GB2312" w:hAnsi="仿宋_GB2312" w:eastAsia="仿宋_GB2312" w:cs="仿宋_GB2312"/>
                <w:b/>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vMerge w:val="restart"/>
            <w:tcBorders>
              <w:top w:val="single" w:color="auto" w:sz="4" w:space="0"/>
              <w:left w:val="single" w:color="auto" w:sz="12" w:space="0"/>
              <w:right w:val="single" w:color="auto" w:sz="4" w:space="0"/>
            </w:tcBorders>
            <w:vAlign w:val="center"/>
          </w:tcPr>
          <w:p>
            <w:pPr>
              <w:overflowPunct w:val="0"/>
              <w:jc w:val="center"/>
              <w:rPr>
                <w:rFonts w:ascii="仿宋_GB2312" w:hAnsi="仿宋_GB2312" w:eastAsia="仿宋_GB2312" w:cs="仿宋_GB2312"/>
                <w:bCs/>
              </w:rPr>
            </w:pPr>
            <w:r>
              <w:rPr>
                <w:rFonts w:hint="eastAsia" w:ascii="仿宋_GB2312" w:hAnsi="仿宋_GB2312" w:eastAsia="仿宋_GB2312" w:cs="仿宋_GB2312"/>
                <w:bCs/>
              </w:rPr>
              <w:t>1</w:t>
            </w:r>
          </w:p>
          <w:p>
            <w:pPr>
              <w:overflowPunct w:val="0"/>
              <w:jc w:val="center"/>
              <w:rPr>
                <w:rFonts w:ascii="仿宋_GB2312" w:hAnsi="仿宋_GB2312" w:eastAsia="仿宋_GB2312" w:cs="仿宋_GB2312"/>
                <w:bCs/>
              </w:rPr>
            </w:pPr>
            <w:r>
              <w:rPr>
                <w:rFonts w:hint="eastAsia" w:ascii="仿宋_GB2312" w:hAnsi="仿宋_GB2312" w:eastAsia="仿宋_GB2312" w:cs="仿宋_GB2312"/>
                <w:bCs/>
              </w:rPr>
              <w:t>2</w:t>
            </w:r>
          </w:p>
          <w:p>
            <w:pPr>
              <w:overflowPunct w:val="0"/>
              <w:jc w:val="center"/>
              <w:rPr>
                <w:rFonts w:ascii="仿宋_GB2312" w:hAnsi="仿宋_GB2312" w:eastAsia="仿宋_GB2312" w:cs="仿宋_GB2312"/>
                <w:bCs/>
              </w:rPr>
            </w:pPr>
            <w:r>
              <w:rPr>
                <w:rFonts w:hint="eastAsia" w:ascii="仿宋_GB2312" w:hAnsi="仿宋_GB2312" w:eastAsia="仿宋_GB2312" w:cs="仿宋_GB2312"/>
                <w:bCs/>
              </w:rPr>
              <w:t>6</w:t>
            </w:r>
          </w:p>
          <w:p>
            <w:pPr>
              <w:overflowPunct w:val="0"/>
              <w:jc w:val="center"/>
              <w:rPr>
                <w:rFonts w:ascii="仿宋_GB2312" w:hAnsi="仿宋_GB2312" w:eastAsia="仿宋_GB2312" w:cs="仿宋_GB2312"/>
                <w:bCs/>
              </w:rPr>
            </w:pPr>
            <w:r>
              <w:rPr>
                <w:rFonts w:hint="eastAsia" w:ascii="仿宋_GB2312" w:hAnsi="仿宋_GB2312" w:eastAsia="仿宋_GB2312" w:cs="仿宋_GB2312"/>
                <w:bCs/>
              </w:rPr>
              <w:t>0</w:t>
            </w:r>
          </w:p>
          <w:p>
            <w:pPr>
              <w:overflowPunct w:val="0"/>
              <w:jc w:val="center"/>
              <w:rPr>
                <w:rFonts w:ascii="仿宋_GB2312" w:hAnsi="仿宋_GB2312" w:eastAsia="仿宋_GB2312" w:cs="仿宋_GB2312"/>
                <w:bCs/>
              </w:rPr>
            </w:pPr>
            <w:r>
              <w:rPr>
                <w:rFonts w:hint="eastAsia" w:ascii="仿宋_GB2312" w:hAnsi="仿宋_GB2312" w:eastAsia="仿宋_GB2312" w:cs="仿宋_GB2312"/>
                <w:bCs/>
              </w:rPr>
              <w:t>0</w:t>
            </w:r>
          </w:p>
        </w:tc>
        <w:tc>
          <w:tcPr>
            <w:tcW w:w="690" w:type="dxa"/>
            <w:vMerge w:val="restart"/>
            <w:tcBorders>
              <w:top w:val="single" w:color="auto" w:sz="4" w:space="0"/>
              <w:left w:val="single" w:color="auto" w:sz="4" w:space="0"/>
              <w:right w:val="single" w:color="auto" w:sz="4" w:space="0"/>
            </w:tcBorders>
            <w:vAlign w:val="center"/>
          </w:tcPr>
          <w:p>
            <w:pPr>
              <w:overflowPunct w:val="0"/>
              <w:jc w:val="left"/>
              <w:rPr>
                <w:rFonts w:ascii="仿宋_GB2312" w:hAnsi="仿宋_GB2312" w:eastAsia="仿宋_GB2312" w:cs="仿宋_GB2312"/>
                <w:bCs/>
              </w:rPr>
            </w:pPr>
            <w:r>
              <w:rPr>
                <w:rFonts w:hint="eastAsia" w:ascii="仿宋_GB2312" w:hAnsi="仿宋_GB2312" w:eastAsia="仿宋_GB2312" w:cs="仿宋_GB2312"/>
                <w:bCs/>
              </w:rPr>
              <w:t>邵阳</w:t>
            </w:r>
          </w:p>
          <w:p>
            <w:pPr>
              <w:overflowPunct w:val="0"/>
              <w:jc w:val="left"/>
              <w:rPr>
                <w:rFonts w:ascii="仿宋_GB2312" w:hAnsi="仿宋_GB2312" w:eastAsia="仿宋_GB2312" w:cs="仿宋_GB2312"/>
                <w:bCs/>
              </w:rPr>
            </w:pPr>
            <w:r>
              <w:rPr>
                <w:rFonts w:hint="eastAsia" w:ascii="仿宋_GB2312" w:hAnsi="仿宋_GB2312" w:eastAsia="仿宋_GB2312" w:cs="仿宋_GB2312"/>
                <w:bCs/>
              </w:rPr>
              <w:t>职业</w:t>
            </w:r>
          </w:p>
          <w:p>
            <w:pPr>
              <w:overflowPunct w:val="0"/>
              <w:jc w:val="left"/>
              <w:rPr>
                <w:rFonts w:ascii="仿宋_GB2312" w:hAnsi="仿宋_GB2312" w:eastAsia="仿宋_GB2312" w:cs="仿宋_GB2312"/>
                <w:bCs/>
              </w:rPr>
            </w:pPr>
            <w:r>
              <w:rPr>
                <w:rFonts w:hint="eastAsia" w:ascii="仿宋_GB2312" w:hAnsi="仿宋_GB2312" w:eastAsia="仿宋_GB2312" w:cs="仿宋_GB2312"/>
                <w:bCs/>
              </w:rPr>
              <w:t>技术</w:t>
            </w:r>
          </w:p>
          <w:p>
            <w:pPr>
              <w:overflowPunct w:val="0"/>
              <w:jc w:val="left"/>
              <w:rPr>
                <w:rFonts w:ascii="仿宋_GB2312" w:hAnsi="仿宋_GB2312" w:eastAsia="仿宋_GB2312" w:cs="仿宋_GB2312"/>
                <w:bCs/>
              </w:rPr>
            </w:pPr>
            <w:r>
              <w:rPr>
                <w:rFonts w:hint="eastAsia" w:ascii="仿宋_GB2312" w:hAnsi="仿宋_GB2312" w:eastAsia="仿宋_GB2312" w:cs="仿宋_GB2312"/>
                <w:bCs/>
              </w:rPr>
              <w:t>学院</w:t>
            </w:r>
          </w:p>
        </w:tc>
        <w:tc>
          <w:tcPr>
            <w:tcW w:w="4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1</w:t>
            </w:r>
          </w:p>
        </w:tc>
        <w:tc>
          <w:tcPr>
            <w:tcW w:w="4560" w:type="dxa"/>
            <w:tcBorders>
              <w:top w:val="single" w:color="auto" w:sz="4" w:space="0"/>
              <w:left w:val="single" w:color="auto" w:sz="4" w:space="0"/>
              <w:bottom w:val="single" w:color="auto" w:sz="4" w:space="0"/>
              <w:right w:val="single" w:color="auto" w:sz="4" w:space="0"/>
            </w:tcBorders>
            <w:vAlign w:val="center"/>
          </w:tcPr>
          <w:p>
            <w:pPr>
              <w:jc w:val="left"/>
              <w:rPr>
                <w:rFonts w:ascii="仿宋_GB2312" w:hAnsi="仿宋_GB2312" w:eastAsia="仿宋_GB2312" w:cs="仿宋_GB2312"/>
              </w:rPr>
            </w:pPr>
            <w:r>
              <w:rPr>
                <w:rFonts w:hint="eastAsia" w:ascii="仿宋_GB2312" w:hAnsi="仿宋_GB2312" w:eastAsia="仿宋_GB2312" w:cs="仿宋_GB2312"/>
              </w:rPr>
              <w:t>全日制国（境）外留学生人数（一年以上）</w:t>
            </w:r>
          </w:p>
        </w:tc>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人</w:t>
            </w:r>
          </w:p>
        </w:tc>
        <w:tc>
          <w:tcPr>
            <w:tcW w:w="735"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hint="eastAsia" w:ascii="仿宋_GB2312" w:hAnsi="仿宋_GB2312" w:eastAsia="仿宋_GB2312" w:cs="仿宋_GB2312"/>
                <w:b/>
                <w:lang w:val="en-US" w:eastAsia="zh-CN"/>
              </w:rPr>
            </w:pPr>
            <w:r>
              <w:rPr>
                <w:rFonts w:hint="eastAsia" w:ascii="仿宋_GB2312" w:hAnsi="仿宋_GB2312" w:eastAsia="仿宋_GB2312" w:cs="仿宋_GB2312"/>
                <w:b/>
                <w:lang w:val="en-US" w:eastAsia="zh-CN"/>
              </w:rPr>
              <w:t>-</w:t>
            </w:r>
          </w:p>
        </w:tc>
        <w:tc>
          <w:tcPr>
            <w:tcW w:w="705" w:type="dxa"/>
            <w:tcBorders>
              <w:top w:val="single" w:color="auto" w:sz="4" w:space="0"/>
              <w:left w:val="single" w:color="auto" w:sz="4" w:space="0"/>
              <w:bottom w:val="single" w:color="auto" w:sz="4" w:space="0"/>
              <w:right w:val="single" w:color="auto" w:sz="12" w:space="0"/>
            </w:tcBorders>
            <w:vAlign w:val="center"/>
          </w:tcPr>
          <w:p>
            <w:pPr>
              <w:overflowPunct w:val="0"/>
              <w:jc w:val="center"/>
              <w:rPr>
                <w:rFonts w:ascii="仿宋_GB2312" w:hAnsi="仿宋_GB2312" w:eastAsia="仿宋_GB2312" w:cs="仿宋_GB2312"/>
                <w:b/>
              </w:rPr>
            </w:pPr>
            <w:r>
              <w:rPr>
                <w:rFonts w:hint="eastAsia" w:ascii="仿宋_GB2312" w:hAnsi="仿宋_GB2312" w:eastAsia="仿宋_GB2312" w:cs="仿宋_GB2312"/>
                <w:b/>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vMerge w:val="continue"/>
            <w:tcBorders>
              <w:left w:val="single" w:color="auto" w:sz="12" w:space="0"/>
              <w:right w:val="single" w:color="auto" w:sz="4" w:space="0"/>
            </w:tcBorders>
            <w:vAlign w:val="center"/>
          </w:tcPr>
          <w:p>
            <w:pPr>
              <w:overflowPunct w:val="0"/>
              <w:jc w:val="left"/>
              <w:rPr>
                <w:rFonts w:ascii="仿宋_GB2312" w:hAnsi="仿宋_GB2312" w:eastAsia="仿宋_GB2312" w:cs="仿宋_GB2312"/>
                <w:b/>
              </w:rPr>
            </w:pPr>
          </w:p>
        </w:tc>
        <w:tc>
          <w:tcPr>
            <w:tcW w:w="690" w:type="dxa"/>
            <w:vMerge w:val="continue"/>
            <w:tcBorders>
              <w:left w:val="single" w:color="auto" w:sz="4" w:space="0"/>
              <w:right w:val="single" w:color="auto" w:sz="4" w:space="0"/>
            </w:tcBorders>
            <w:vAlign w:val="center"/>
          </w:tcPr>
          <w:p>
            <w:pPr>
              <w:overflowPunct w:val="0"/>
              <w:jc w:val="left"/>
              <w:rPr>
                <w:rFonts w:ascii="仿宋_GB2312" w:hAnsi="仿宋_GB2312" w:eastAsia="仿宋_GB2312" w:cs="仿宋_GB2312"/>
                <w:b/>
              </w:rPr>
            </w:pPr>
          </w:p>
        </w:tc>
        <w:tc>
          <w:tcPr>
            <w:tcW w:w="4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2</w:t>
            </w:r>
          </w:p>
        </w:tc>
        <w:tc>
          <w:tcPr>
            <w:tcW w:w="4560" w:type="dxa"/>
            <w:tcBorders>
              <w:top w:val="single" w:color="auto" w:sz="4" w:space="0"/>
              <w:left w:val="single" w:color="auto" w:sz="4" w:space="0"/>
              <w:bottom w:val="single" w:color="auto" w:sz="4" w:space="0"/>
              <w:right w:val="single" w:color="auto" w:sz="4" w:space="0"/>
            </w:tcBorders>
            <w:vAlign w:val="center"/>
          </w:tcPr>
          <w:p>
            <w:pPr>
              <w:jc w:val="left"/>
              <w:rPr>
                <w:rFonts w:ascii="仿宋_GB2312" w:hAnsi="仿宋_GB2312" w:eastAsia="仿宋_GB2312" w:cs="仿宋_GB2312"/>
              </w:rPr>
            </w:pPr>
            <w:r>
              <w:rPr>
                <w:rFonts w:hint="eastAsia" w:ascii="仿宋_GB2312" w:hAnsi="仿宋_GB2312" w:eastAsia="仿宋_GB2312" w:cs="仿宋_GB2312"/>
              </w:rPr>
              <w:t>非全日制国（境）外人员培训量</w:t>
            </w:r>
          </w:p>
        </w:tc>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人日</w:t>
            </w:r>
          </w:p>
        </w:tc>
        <w:tc>
          <w:tcPr>
            <w:tcW w:w="735"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仿宋_GB2312" w:hAnsi="仿宋_GB2312" w:eastAsia="仿宋_GB2312" w:cs="仿宋_GB2312"/>
                <w:b/>
              </w:rPr>
            </w:pPr>
            <w:r>
              <w:rPr>
                <w:rFonts w:hint="eastAsia" w:ascii="仿宋_GB2312" w:hAnsi="仿宋_GB2312" w:eastAsia="仿宋_GB2312" w:cs="仿宋_GB2312"/>
                <w:b/>
                <w:lang w:val="en-US" w:eastAsia="zh-CN"/>
              </w:rPr>
              <w:t>-</w:t>
            </w:r>
          </w:p>
        </w:tc>
        <w:tc>
          <w:tcPr>
            <w:tcW w:w="705" w:type="dxa"/>
            <w:tcBorders>
              <w:top w:val="single" w:color="auto" w:sz="4" w:space="0"/>
              <w:left w:val="single" w:color="auto" w:sz="4" w:space="0"/>
              <w:bottom w:val="single" w:color="auto" w:sz="4" w:space="0"/>
              <w:right w:val="single" w:color="auto" w:sz="12" w:space="0"/>
            </w:tcBorders>
            <w:vAlign w:val="center"/>
          </w:tcPr>
          <w:p>
            <w:pPr>
              <w:overflowPunct w:val="0"/>
              <w:jc w:val="center"/>
              <w:rPr>
                <w:rFonts w:ascii="仿宋_GB2312" w:hAnsi="仿宋_GB2312" w:eastAsia="仿宋_GB2312" w:cs="仿宋_GB2312"/>
                <w:b/>
              </w:rPr>
            </w:pPr>
            <w:r>
              <w:rPr>
                <w:rFonts w:hint="eastAsia" w:ascii="仿宋_GB2312" w:hAnsi="仿宋_GB2312" w:eastAsia="仿宋_GB2312" w:cs="仿宋_GB2312"/>
                <w:b/>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vMerge w:val="continue"/>
            <w:tcBorders>
              <w:left w:val="single" w:color="auto" w:sz="12" w:space="0"/>
              <w:right w:val="single" w:color="auto" w:sz="4" w:space="0"/>
            </w:tcBorders>
            <w:vAlign w:val="center"/>
          </w:tcPr>
          <w:p>
            <w:pPr>
              <w:overflowPunct w:val="0"/>
              <w:jc w:val="left"/>
              <w:rPr>
                <w:rFonts w:ascii="仿宋_GB2312" w:hAnsi="仿宋_GB2312" w:eastAsia="仿宋_GB2312" w:cs="仿宋_GB2312"/>
                <w:b/>
              </w:rPr>
            </w:pPr>
          </w:p>
        </w:tc>
        <w:tc>
          <w:tcPr>
            <w:tcW w:w="690" w:type="dxa"/>
            <w:vMerge w:val="continue"/>
            <w:tcBorders>
              <w:left w:val="single" w:color="auto" w:sz="4" w:space="0"/>
              <w:right w:val="single" w:color="auto" w:sz="4" w:space="0"/>
            </w:tcBorders>
            <w:vAlign w:val="center"/>
          </w:tcPr>
          <w:p>
            <w:pPr>
              <w:overflowPunct w:val="0"/>
              <w:jc w:val="left"/>
              <w:rPr>
                <w:rFonts w:ascii="仿宋_GB2312" w:hAnsi="仿宋_GB2312" w:eastAsia="仿宋_GB2312" w:cs="仿宋_GB2312"/>
                <w:b/>
              </w:rPr>
            </w:pPr>
          </w:p>
        </w:tc>
        <w:tc>
          <w:tcPr>
            <w:tcW w:w="4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3</w:t>
            </w:r>
          </w:p>
        </w:tc>
        <w:tc>
          <w:tcPr>
            <w:tcW w:w="4560" w:type="dxa"/>
            <w:tcBorders>
              <w:top w:val="single" w:color="auto" w:sz="4" w:space="0"/>
              <w:left w:val="single" w:color="auto" w:sz="4" w:space="0"/>
              <w:bottom w:val="single" w:color="auto" w:sz="4" w:space="0"/>
              <w:right w:val="single" w:color="auto" w:sz="4" w:space="0"/>
            </w:tcBorders>
            <w:vAlign w:val="center"/>
          </w:tcPr>
          <w:p>
            <w:pPr>
              <w:jc w:val="left"/>
              <w:rPr>
                <w:rFonts w:ascii="仿宋_GB2312" w:hAnsi="仿宋_GB2312" w:eastAsia="仿宋_GB2312" w:cs="仿宋_GB2312"/>
              </w:rPr>
            </w:pPr>
            <w:r>
              <w:rPr>
                <w:rFonts w:hint="eastAsia" w:ascii="仿宋_GB2312" w:hAnsi="仿宋_GB2312" w:eastAsia="仿宋_GB2312" w:cs="仿宋_GB2312"/>
              </w:rPr>
              <w:t>在校生服务“走出去”企业国（境）外实习时间</w:t>
            </w:r>
          </w:p>
        </w:tc>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人日</w:t>
            </w:r>
          </w:p>
        </w:tc>
        <w:tc>
          <w:tcPr>
            <w:tcW w:w="735"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仿宋_GB2312" w:hAnsi="仿宋_GB2312" w:eastAsia="仿宋_GB2312" w:cs="仿宋_GB2312"/>
                <w:b/>
              </w:rPr>
            </w:pPr>
            <w:r>
              <w:rPr>
                <w:rFonts w:hint="eastAsia" w:ascii="仿宋_GB2312" w:hAnsi="仿宋_GB2312" w:eastAsia="仿宋_GB2312" w:cs="仿宋_GB2312"/>
                <w:b/>
                <w:lang w:val="en-US" w:eastAsia="zh-CN"/>
              </w:rPr>
              <w:t>-</w:t>
            </w:r>
          </w:p>
        </w:tc>
        <w:tc>
          <w:tcPr>
            <w:tcW w:w="705" w:type="dxa"/>
            <w:tcBorders>
              <w:top w:val="single" w:color="auto" w:sz="4" w:space="0"/>
              <w:left w:val="single" w:color="auto" w:sz="4" w:space="0"/>
              <w:bottom w:val="single" w:color="auto" w:sz="4" w:space="0"/>
              <w:right w:val="single" w:color="auto" w:sz="12" w:space="0"/>
            </w:tcBorders>
            <w:vAlign w:val="center"/>
          </w:tcPr>
          <w:p>
            <w:pPr>
              <w:overflowPunct w:val="0"/>
              <w:jc w:val="center"/>
              <w:rPr>
                <w:rFonts w:ascii="仿宋_GB2312" w:hAnsi="仿宋_GB2312" w:eastAsia="仿宋_GB2312" w:cs="仿宋_GB2312"/>
                <w:b/>
              </w:rPr>
            </w:pPr>
            <w:r>
              <w:rPr>
                <w:rFonts w:hint="eastAsia" w:ascii="仿宋_GB2312" w:hAnsi="仿宋_GB2312" w:eastAsia="仿宋_GB2312" w:cs="仿宋_GB2312"/>
                <w:b/>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vMerge w:val="continue"/>
            <w:tcBorders>
              <w:left w:val="single" w:color="auto" w:sz="12" w:space="0"/>
              <w:right w:val="single" w:color="auto" w:sz="4" w:space="0"/>
            </w:tcBorders>
            <w:vAlign w:val="center"/>
          </w:tcPr>
          <w:p>
            <w:pPr>
              <w:overflowPunct w:val="0"/>
              <w:jc w:val="left"/>
              <w:rPr>
                <w:rFonts w:ascii="仿宋_GB2312" w:hAnsi="仿宋_GB2312" w:eastAsia="仿宋_GB2312" w:cs="仿宋_GB2312"/>
                <w:b/>
              </w:rPr>
            </w:pPr>
          </w:p>
        </w:tc>
        <w:tc>
          <w:tcPr>
            <w:tcW w:w="690" w:type="dxa"/>
            <w:vMerge w:val="continue"/>
            <w:tcBorders>
              <w:left w:val="single" w:color="auto" w:sz="4" w:space="0"/>
              <w:right w:val="single" w:color="auto" w:sz="4" w:space="0"/>
            </w:tcBorders>
            <w:vAlign w:val="center"/>
          </w:tcPr>
          <w:p>
            <w:pPr>
              <w:overflowPunct w:val="0"/>
              <w:jc w:val="left"/>
              <w:rPr>
                <w:rFonts w:ascii="仿宋_GB2312" w:hAnsi="仿宋_GB2312" w:eastAsia="仿宋_GB2312" w:cs="仿宋_GB2312"/>
                <w:b/>
              </w:rPr>
            </w:pPr>
          </w:p>
        </w:tc>
        <w:tc>
          <w:tcPr>
            <w:tcW w:w="4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4</w:t>
            </w:r>
          </w:p>
        </w:tc>
        <w:tc>
          <w:tcPr>
            <w:tcW w:w="4560" w:type="dxa"/>
            <w:tcBorders>
              <w:top w:val="single" w:color="auto" w:sz="4" w:space="0"/>
              <w:left w:val="single" w:color="auto" w:sz="4" w:space="0"/>
              <w:bottom w:val="single" w:color="auto" w:sz="4" w:space="0"/>
              <w:right w:val="single" w:color="auto" w:sz="4" w:space="0"/>
            </w:tcBorders>
            <w:vAlign w:val="center"/>
          </w:tcPr>
          <w:p>
            <w:pPr>
              <w:jc w:val="left"/>
              <w:rPr>
                <w:rFonts w:ascii="仿宋_GB2312" w:hAnsi="仿宋_GB2312" w:eastAsia="仿宋_GB2312" w:cs="仿宋_GB2312"/>
              </w:rPr>
            </w:pPr>
            <w:r>
              <w:rPr>
                <w:rFonts w:hint="eastAsia" w:ascii="仿宋_GB2312" w:hAnsi="仿宋_GB2312" w:eastAsia="仿宋_GB2312" w:cs="仿宋_GB2312"/>
              </w:rPr>
              <w:t>专任教师赴国（境）外指导和开展培训时间</w:t>
            </w:r>
          </w:p>
        </w:tc>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人日</w:t>
            </w:r>
          </w:p>
        </w:tc>
        <w:tc>
          <w:tcPr>
            <w:tcW w:w="735"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仿宋_GB2312" w:hAnsi="仿宋_GB2312" w:eastAsia="仿宋_GB2312" w:cs="仿宋_GB2312"/>
                <w:b/>
              </w:rPr>
            </w:pPr>
            <w:r>
              <w:rPr>
                <w:rFonts w:hint="eastAsia" w:ascii="仿宋_GB2312" w:hAnsi="仿宋_GB2312" w:eastAsia="仿宋_GB2312" w:cs="仿宋_GB2312"/>
                <w:b/>
                <w:lang w:val="en-US" w:eastAsia="zh-CN"/>
              </w:rPr>
              <w:t>-</w:t>
            </w:r>
          </w:p>
        </w:tc>
        <w:tc>
          <w:tcPr>
            <w:tcW w:w="705" w:type="dxa"/>
            <w:tcBorders>
              <w:top w:val="single" w:color="auto" w:sz="4" w:space="0"/>
              <w:left w:val="single" w:color="auto" w:sz="4" w:space="0"/>
              <w:bottom w:val="single" w:color="auto" w:sz="4" w:space="0"/>
              <w:right w:val="single" w:color="auto" w:sz="12" w:space="0"/>
            </w:tcBorders>
            <w:vAlign w:val="center"/>
          </w:tcPr>
          <w:p>
            <w:pPr>
              <w:overflowPunct w:val="0"/>
              <w:jc w:val="center"/>
              <w:rPr>
                <w:rFonts w:ascii="仿宋_GB2312" w:hAnsi="仿宋_GB2312" w:eastAsia="仿宋_GB2312" w:cs="仿宋_GB2312"/>
                <w:b/>
              </w:rPr>
            </w:pPr>
            <w:r>
              <w:rPr>
                <w:rFonts w:hint="eastAsia" w:ascii="仿宋_GB2312" w:hAnsi="仿宋_GB2312" w:eastAsia="仿宋_GB2312" w:cs="仿宋_GB2312"/>
                <w:b/>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vMerge w:val="continue"/>
            <w:tcBorders>
              <w:left w:val="single" w:color="auto" w:sz="12" w:space="0"/>
              <w:right w:val="single" w:color="auto" w:sz="4" w:space="0"/>
            </w:tcBorders>
            <w:vAlign w:val="center"/>
          </w:tcPr>
          <w:p>
            <w:pPr>
              <w:overflowPunct w:val="0"/>
              <w:jc w:val="left"/>
              <w:rPr>
                <w:rFonts w:ascii="仿宋_GB2312" w:hAnsi="仿宋_GB2312" w:eastAsia="仿宋_GB2312" w:cs="仿宋_GB2312"/>
                <w:b/>
              </w:rPr>
            </w:pPr>
          </w:p>
        </w:tc>
        <w:tc>
          <w:tcPr>
            <w:tcW w:w="690" w:type="dxa"/>
            <w:vMerge w:val="continue"/>
            <w:tcBorders>
              <w:left w:val="single" w:color="auto" w:sz="4" w:space="0"/>
              <w:right w:val="single" w:color="auto" w:sz="4" w:space="0"/>
            </w:tcBorders>
            <w:vAlign w:val="center"/>
          </w:tcPr>
          <w:p>
            <w:pPr>
              <w:overflowPunct w:val="0"/>
              <w:jc w:val="left"/>
              <w:rPr>
                <w:rFonts w:ascii="仿宋_GB2312" w:hAnsi="仿宋_GB2312" w:eastAsia="仿宋_GB2312" w:cs="仿宋_GB2312"/>
                <w:b/>
              </w:rPr>
            </w:pPr>
          </w:p>
        </w:tc>
        <w:tc>
          <w:tcPr>
            <w:tcW w:w="4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5</w:t>
            </w:r>
          </w:p>
        </w:tc>
        <w:tc>
          <w:tcPr>
            <w:tcW w:w="4560" w:type="dxa"/>
            <w:tcBorders>
              <w:top w:val="single" w:color="auto" w:sz="4" w:space="0"/>
              <w:left w:val="single" w:color="auto" w:sz="4" w:space="0"/>
              <w:bottom w:val="single" w:color="auto" w:sz="4" w:space="0"/>
              <w:right w:val="single" w:color="auto" w:sz="4" w:space="0"/>
            </w:tcBorders>
            <w:vAlign w:val="center"/>
          </w:tcPr>
          <w:p>
            <w:pPr>
              <w:jc w:val="left"/>
              <w:rPr>
                <w:rFonts w:ascii="仿宋_GB2312" w:hAnsi="仿宋_GB2312" w:eastAsia="仿宋_GB2312" w:cs="仿宋_GB2312"/>
              </w:rPr>
            </w:pPr>
            <w:r>
              <w:rPr>
                <w:rFonts w:hint="eastAsia" w:ascii="仿宋_GB2312" w:hAnsi="仿宋_GB2312" w:eastAsia="仿宋_GB2312" w:cs="仿宋_GB2312"/>
              </w:rPr>
              <w:t>在国（境）外组织担任职务的专任教师人数</w:t>
            </w:r>
          </w:p>
        </w:tc>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人</w:t>
            </w:r>
          </w:p>
        </w:tc>
        <w:tc>
          <w:tcPr>
            <w:tcW w:w="735"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仿宋_GB2312" w:hAnsi="仿宋_GB2312" w:eastAsia="仿宋_GB2312" w:cs="仿宋_GB2312"/>
                <w:b/>
              </w:rPr>
            </w:pPr>
            <w:r>
              <w:rPr>
                <w:rFonts w:hint="eastAsia" w:ascii="仿宋_GB2312" w:hAnsi="仿宋_GB2312" w:eastAsia="仿宋_GB2312" w:cs="仿宋_GB2312"/>
                <w:b/>
                <w:lang w:val="en-US" w:eastAsia="zh-CN"/>
              </w:rPr>
              <w:t>-</w:t>
            </w:r>
          </w:p>
        </w:tc>
        <w:tc>
          <w:tcPr>
            <w:tcW w:w="705" w:type="dxa"/>
            <w:tcBorders>
              <w:top w:val="single" w:color="auto" w:sz="4" w:space="0"/>
              <w:left w:val="single" w:color="auto" w:sz="4" w:space="0"/>
              <w:bottom w:val="single" w:color="auto" w:sz="4" w:space="0"/>
              <w:right w:val="single" w:color="auto" w:sz="12" w:space="0"/>
            </w:tcBorders>
            <w:vAlign w:val="center"/>
          </w:tcPr>
          <w:p>
            <w:pPr>
              <w:overflowPunct w:val="0"/>
              <w:jc w:val="center"/>
              <w:rPr>
                <w:rFonts w:ascii="仿宋_GB2312" w:hAnsi="仿宋_GB2312" w:eastAsia="仿宋_GB2312" w:cs="仿宋_GB2312"/>
                <w:b/>
              </w:rPr>
            </w:pPr>
            <w:r>
              <w:rPr>
                <w:rFonts w:hint="eastAsia" w:ascii="仿宋_GB2312" w:hAnsi="仿宋_GB2312" w:eastAsia="仿宋_GB2312" w:cs="仿宋_GB2312"/>
                <w:b/>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vMerge w:val="continue"/>
            <w:tcBorders>
              <w:left w:val="single" w:color="auto" w:sz="12" w:space="0"/>
              <w:right w:val="single" w:color="auto" w:sz="4" w:space="0"/>
            </w:tcBorders>
            <w:vAlign w:val="center"/>
          </w:tcPr>
          <w:p>
            <w:pPr>
              <w:overflowPunct w:val="0"/>
              <w:jc w:val="left"/>
              <w:rPr>
                <w:rFonts w:ascii="仿宋_GB2312" w:hAnsi="仿宋_GB2312" w:eastAsia="仿宋_GB2312" w:cs="仿宋_GB2312"/>
                <w:b/>
              </w:rPr>
            </w:pPr>
          </w:p>
        </w:tc>
        <w:tc>
          <w:tcPr>
            <w:tcW w:w="690" w:type="dxa"/>
            <w:vMerge w:val="continue"/>
            <w:tcBorders>
              <w:left w:val="single" w:color="auto" w:sz="4" w:space="0"/>
              <w:right w:val="single" w:color="auto" w:sz="4" w:space="0"/>
            </w:tcBorders>
            <w:vAlign w:val="center"/>
          </w:tcPr>
          <w:p>
            <w:pPr>
              <w:overflowPunct w:val="0"/>
              <w:jc w:val="left"/>
              <w:rPr>
                <w:rFonts w:ascii="仿宋_GB2312" w:hAnsi="仿宋_GB2312" w:eastAsia="仿宋_GB2312" w:cs="仿宋_GB2312"/>
                <w:b/>
              </w:rPr>
            </w:pPr>
          </w:p>
        </w:tc>
        <w:tc>
          <w:tcPr>
            <w:tcW w:w="4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6</w:t>
            </w:r>
          </w:p>
        </w:tc>
        <w:tc>
          <w:tcPr>
            <w:tcW w:w="4560" w:type="dxa"/>
            <w:tcBorders>
              <w:top w:val="single" w:color="auto" w:sz="4" w:space="0"/>
              <w:left w:val="single" w:color="auto" w:sz="4" w:space="0"/>
              <w:bottom w:val="single" w:color="auto" w:sz="4" w:space="0"/>
              <w:right w:val="single" w:color="auto" w:sz="4" w:space="0"/>
            </w:tcBorders>
            <w:vAlign w:val="center"/>
          </w:tcPr>
          <w:p>
            <w:pPr>
              <w:jc w:val="left"/>
              <w:rPr>
                <w:rFonts w:ascii="仿宋_GB2312" w:hAnsi="仿宋_GB2312" w:eastAsia="仿宋_GB2312" w:cs="仿宋_GB2312"/>
              </w:rPr>
            </w:pPr>
            <w:r>
              <w:rPr>
                <w:rFonts w:hint="eastAsia" w:ascii="仿宋_GB2312" w:hAnsi="仿宋_GB2312" w:eastAsia="仿宋_GB2312" w:cs="仿宋_GB2312"/>
              </w:rPr>
              <w:t>开发国（境）外认可的专业教学标准和课程标准数</w:t>
            </w:r>
          </w:p>
        </w:tc>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个</w:t>
            </w:r>
          </w:p>
        </w:tc>
        <w:tc>
          <w:tcPr>
            <w:tcW w:w="735"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仿宋_GB2312" w:hAnsi="仿宋_GB2312" w:eastAsia="仿宋_GB2312" w:cs="仿宋_GB2312"/>
                <w:b/>
              </w:rPr>
            </w:pPr>
            <w:r>
              <w:rPr>
                <w:rFonts w:hint="eastAsia" w:ascii="仿宋_GB2312" w:hAnsi="仿宋_GB2312" w:eastAsia="仿宋_GB2312" w:cs="仿宋_GB2312"/>
                <w:b/>
                <w:lang w:val="en-US" w:eastAsia="zh-CN"/>
              </w:rPr>
              <w:t>-</w:t>
            </w:r>
          </w:p>
        </w:tc>
        <w:tc>
          <w:tcPr>
            <w:tcW w:w="705" w:type="dxa"/>
            <w:tcBorders>
              <w:top w:val="single" w:color="auto" w:sz="4" w:space="0"/>
              <w:left w:val="single" w:color="auto" w:sz="4" w:space="0"/>
              <w:bottom w:val="single" w:color="auto" w:sz="4" w:space="0"/>
              <w:right w:val="single" w:color="auto" w:sz="12" w:space="0"/>
            </w:tcBorders>
            <w:vAlign w:val="center"/>
          </w:tcPr>
          <w:p>
            <w:pPr>
              <w:overflowPunct w:val="0"/>
              <w:jc w:val="center"/>
              <w:rPr>
                <w:rFonts w:ascii="仿宋_GB2312" w:hAnsi="仿宋_GB2312" w:eastAsia="仿宋_GB2312" w:cs="仿宋_GB2312"/>
                <w:b/>
              </w:rPr>
            </w:pPr>
            <w:r>
              <w:rPr>
                <w:rFonts w:hint="eastAsia" w:ascii="仿宋_GB2312" w:hAnsi="仿宋_GB2312" w:eastAsia="仿宋_GB2312" w:cs="仿宋_GB2312"/>
                <w:b/>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vMerge w:val="continue"/>
            <w:tcBorders>
              <w:left w:val="single" w:color="auto" w:sz="12" w:space="0"/>
              <w:bottom w:val="single" w:color="auto" w:sz="12" w:space="0"/>
              <w:right w:val="single" w:color="auto" w:sz="4" w:space="0"/>
            </w:tcBorders>
            <w:vAlign w:val="center"/>
          </w:tcPr>
          <w:p>
            <w:pPr>
              <w:overflowPunct w:val="0"/>
              <w:jc w:val="left"/>
              <w:rPr>
                <w:rFonts w:ascii="仿宋_GB2312" w:hAnsi="仿宋_GB2312" w:eastAsia="仿宋_GB2312" w:cs="仿宋_GB2312"/>
                <w:b/>
              </w:rPr>
            </w:pPr>
          </w:p>
        </w:tc>
        <w:tc>
          <w:tcPr>
            <w:tcW w:w="690" w:type="dxa"/>
            <w:vMerge w:val="continue"/>
            <w:tcBorders>
              <w:left w:val="single" w:color="auto" w:sz="4" w:space="0"/>
              <w:bottom w:val="single" w:color="auto" w:sz="12" w:space="0"/>
              <w:right w:val="single" w:color="auto" w:sz="4" w:space="0"/>
            </w:tcBorders>
            <w:vAlign w:val="center"/>
          </w:tcPr>
          <w:p>
            <w:pPr>
              <w:overflowPunct w:val="0"/>
              <w:jc w:val="left"/>
              <w:rPr>
                <w:rFonts w:ascii="仿宋_GB2312" w:hAnsi="仿宋_GB2312" w:eastAsia="仿宋_GB2312" w:cs="仿宋_GB2312"/>
                <w:b/>
              </w:rPr>
            </w:pPr>
          </w:p>
        </w:tc>
        <w:tc>
          <w:tcPr>
            <w:tcW w:w="420" w:type="dxa"/>
            <w:tcBorders>
              <w:top w:val="single" w:color="auto" w:sz="4" w:space="0"/>
              <w:left w:val="single" w:color="auto" w:sz="4" w:space="0"/>
              <w:bottom w:val="single" w:color="auto" w:sz="12" w:space="0"/>
              <w:right w:val="single" w:color="auto" w:sz="4" w:space="0"/>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7</w:t>
            </w:r>
          </w:p>
        </w:tc>
        <w:tc>
          <w:tcPr>
            <w:tcW w:w="4560" w:type="dxa"/>
            <w:tcBorders>
              <w:top w:val="single" w:color="auto" w:sz="4" w:space="0"/>
              <w:left w:val="single" w:color="auto" w:sz="4" w:space="0"/>
              <w:bottom w:val="single" w:color="auto" w:sz="12" w:space="0"/>
              <w:right w:val="single" w:color="auto" w:sz="4" w:space="0"/>
            </w:tcBorders>
            <w:vAlign w:val="center"/>
          </w:tcPr>
          <w:p>
            <w:pPr>
              <w:jc w:val="left"/>
              <w:rPr>
                <w:rFonts w:ascii="仿宋_GB2312" w:hAnsi="仿宋_GB2312" w:eastAsia="仿宋_GB2312" w:cs="仿宋_GB2312"/>
              </w:rPr>
            </w:pPr>
            <w:r>
              <w:rPr>
                <w:rFonts w:hint="eastAsia" w:ascii="仿宋_GB2312" w:hAnsi="仿宋_GB2312" w:eastAsia="仿宋_GB2312" w:cs="仿宋_GB2312"/>
              </w:rPr>
              <w:t>国（境）外技能大赛获奖数量</w:t>
            </w:r>
          </w:p>
        </w:tc>
        <w:tc>
          <w:tcPr>
            <w:tcW w:w="690" w:type="dxa"/>
            <w:tcBorders>
              <w:top w:val="single" w:color="auto" w:sz="4" w:space="0"/>
              <w:left w:val="single" w:color="auto" w:sz="4" w:space="0"/>
              <w:bottom w:val="single" w:color="auto" w:sz="12" w:space="0"/>
              <w:right w:val="single" w:color="auto" w:sz="4" w:space="0"/>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项</w:t>
            </w:r>
          </w:p>
        </w:tc>
        <w:tc>
          <w:tcPr>
            <w:tcW w:w="735" w:type="dxa"/>
            <w:tcBorders>
              <w:top w:val="single" w:color="auto" w:sz="4" w:space="0"/>
              <w:left w:val="single" w:color="auto" w:sz="4" w:space="0"/>
              <w:bottom w:val="single" w:color="auto" w:sz="12" w:space="0"/>
              <w:right w:val="single" w:color="auto" w:sz="4" w:space="0"/>
            </w:tcBorders>
            <w:vAlign w:val="center"/>
          </w:tcPr>
          <w:p>
            <w:pPr>
              <w:overflowPunct w:val="0"/>
              <w:jc w:val="center"/>
              <w:rPr>
                <w:rFonts w:ascii="仿宋_GB2312" w:hAnsi="仿宋_GB2312" w:eastAsia="仿宋_GB2312" w:cs="仿宋_GB2312"/>
                <w:b/>
              </w:rPr>
            </w:pPr>
            <w:r>
              <w:rPr>
                <w:rFonts w:hint="eastAsia" w:ascii="仿宋_GB2312" w:hAnsi="仿宋_GB2312" w:eastAsia="仿宋_GB2312" w:cs="仿宋_GB2312"/>
                <w:b/>
                <w:lang w:val="en-US" w:eastAsia="zh-CN"/>
              </w:rPr>
              <w:t>-</w:t>
            </w:r>
          </w:p>
        </w:tc>
        <w:tc>
          <w:tcPr>
            <w:tcW w:w="705" w:type="dxa"/>
            <w:tcBorders>
              <w:top w:val="single" w:color="auto" w:sz="4" w:space="0"/>
              <w:left w:val="single" w:color="auto" w:sz="4" w:space="0"/>
              <w:bottom w:val="single" w:color="auto" w:sz="12" w:space="0"/>
              <w:right w:val="single" w:color="auto" w:sz="12" w:space="0"/>
            </w:tcBorders>
            <w:vAlign w:val="center"/>
          </w:tcPr>
          <w:p>
            <w:pPr>
              <w:overflowPunct w:val="0"/>
              <w:jc w:val="center"/>
              <w:rPr>
                <w:rFonts w:ascii="仿宋_GB2312" w:hAnsi="仿宋_GB2312" w:eastAsia="仿宋_GB2312" w:cs="仿宋_GB2312"/>
                <w:b/>
              </w:rPr>
            </w:pPr>
            <w:r>
              <w:rPr>
                <w:rFonts w:hint="eastAsia" w:ascii="仿宋_GB2312" w:hAnsi="仿宋_GB2312" w:eastAsia="仿宋_GB2312" w:cs="仿宋_GB2312"/>
                <w:b/>
                <w:lang w:val="en-US" w:eastAsia="zh-CN"/>
              </w:rPr>
              <w:t>-</w:t>
            </w:r>
          </w:p>
        </w:tc>
      </w:tr>
    </w:tbl>
    <w:p>
      <w:pPr>
        <w:pStyle w:val="6"/>
        <w:widowControl/>
        <w:spacing w:beforeAutospacing="0" w:afterAutospacing="0" w:line="520" w:lineRule="exact"/>
        <w:rPr>
          <w:rFonts w:ascii="仿宋_GB2312" w:eastAsia="仿宋_GB2312" w:cstheme="minorBidi"/>
          <w:kern w:val="2"/>
          <w:sz w:val="28"/>
          <w:szCs w:val="28"/>
        </w:rPr>
      </w:pPr>
      <w:bookmarkStart w:id="189" w:name="_Toc3865"/>
      <w:bookmarkStart w:id="190" w:name="_Toc24333"/>
      <w:bookmarkStart w:id="191" w:name="_Toc21080"/>
      <w:bookmarkStart w:id="192" w:name="_Toc20807"/>
      <w:bookmarkStart w:id="193" w:name="_Toc7075"/>
      <w:bookmarkStart w:id="194" w:name="_Toc374"/>
      <w:r>
        <w:rPr>
          <w:rFonts w:hint="eastAsia" w:ascii="仿宋_GB2312" w:eastAsia="仿宋_GB2312" w:cstheme="minorBidi"/>
          <w:b/>
          <w:bCs/>
          <w:kern w:val="2"/>
          <w:sz w:val="28"/>
          <w:szCs w:val="28"/>
        </w:rPr>
        <w:t>5.2合作办学</w:t>
      </w:r>
      <w:bookmarkEnd w:id="189"/>
      <w:bookmarkEnd w:id="190"/>
      <w:bookmarkEnd w:id="191"/>
      <w:bookmarkEnd w:id="192"/>
      <w:bookmarkEnd w:id="193"/>
      <w:bookmarkEnd w:id="194"/>
    </w:p>
    <w:p>
      <w:pPr>
        <w:pStyle w:val="6"/>
        <w:widowControl/>
        <w:spacing w:beforeAutospacing="0" w:afterAutospacing="0" w:line="480" w:lineRule="exact"/>
        <w:ind w:firstLine="560" w:firstLineChars="200"/>
        <w:rPr>
          <w:rFonts w:ascii="仿宋_GB2312" w:eastAsia="仿宋_GB2312" w:cstheme="minorBidi"/>
          <w:color w:val="0000FF"/>
          <w:kern w:val="2"/>
          <w:sz w:val="32"/>
          <w:szCs w:val="32"/>
        </w:rPr>
      </w:pPr>
      <w:r>
        <w:rPr>
          <w:rFonts w:hint="eastAsia" w:ascii="仿宋_GB2312" w:eastAsia="仿宋_GB2312" w:cstheme="minorBidi"/>
          <w:kern w:val="2"/>
          <w:sz w:val="28"/>
          <w:szCs w:val="28"/>
        </w:rPr>
        <w:t>9月12日，美国安柏瑞德航空航天大学教授、博士，皇家航空协会成员，亚洲学院院长柺依姆.航特，美国波谱航空公司系统公司总裁，首席执行官弗兰克.巴拉哈，执行副总裁王兵、董事会成员徐邦一行来我院洽谈航空教育方面的有关合作事项。双方就航空教育师资力量、教学内容、教学设备、学生就业等方面作了洽谈，达成了合作意向。</w:t>
      </w:r>
    </w:p>
    <w:p>
      <w:pPr>
        <w:pStyle w:val="6"/>
        <w:widowControl/>
        <w:spacing w:beforeAutospacing="0" w:afterAutospacing="0"/>
        <w:jc w:val="center"/>
        <w:rPr>
          <w:rFonts w:ascii="仿宋_GB2312" w:eastAsia="仿宋_GB2312" w:cstheme="minorBidi"/>
          <w:color w:val="0000FF"/>
          <w:kern w:val="2"/>
          <w:sz w:val="32"/>
          <w:szCs w:val="32"/>
        </w:rPr>
      </w:pPr>
      <w:r>
        <w:rPr>
          <w:rFonts w:hint="eastAsia" w:ascii="宋体" w:hAnsi="宋体" w:eastAsia="宋体" w:cs="宋体"/>
          <w:color w:val="000000"/>
          <w:sz w:val="18"/>
          <w:szCs w:val="18"/>
        </w:rPr>
        <w:drawing>
          <wp:inline distT="0" distB="0" distL="114300" distR="114300">
            <wp:extent cx="4139565" cy="2757805"/>
            <wp:effectExtent l="0" t="0" r="13335" b="4445"/>
            <wp:docPr id="15" name="图片 1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8"/>
                    <pic:cNvPicPr>
                      <a:picLocks noChangeAspect="1"/>
                    </pic:cNvPicPr>
                  </pic:nvPicPr>
                  <pic:blipFill>
                    <a:blip r:embed="rId50" cstate="print"/>
                    <a:stretch>
                      <a:fillRect/>
                    </a:stretch>
                  </pic:blipFill>
                  <pic:spPr>
                    <a:xfrm>
                      <a:off x="0" y="0"/>
                      <a:ext cx="4139565" cy="2757805"/>
                    </a:xfrm>
                    <a:prstGeom prst="rect">
                      <a:avLst/>
                    </a:prstGeom>
                    <a:noFill/>
                    <a:ln w="9525">
                      <a:noFill/>
                    </a:ln>
                  </pic:spPr>
                </pic:pic>
              </a:graphicData>
            </a:graphic>
          </wp:inline>
        </w:drawing>
      </w:r>
    </w:p>
    <w:p>
      <w:pPr>
        <w:pStyle w:val="6"/>
        <w:widowControl/>
        <w:spacing w:beforeAutospacing="0" w:afterAutospacing="0"/>
        <w:jc w:val="center"/>
        <w:rPr>
          <w:rFonts w:ascii="仿宋_GB2312" w:eastAsia="仿宋_GB2312" w:cstheme="minorBidi"/>
          <w:color w:val="0000FF"/>
          <w:kern w:val="2"/>
          <w:sz w:val="32"/>
          <w:szCs w:val="32"/>
        </w:rPr>
      </w:pPr>
      <w:r>
        <w:rPr>
          <w:rFonts w:hint="eastAsia" w:ascii="楷体" w:hAnsi="楷体" w:eastAsia="楷体" w:cs="楷体"/>
          <w:kern w:val="2"/>
          <w:sz w:val="21"/>
        </w:rPr>
        <w:t>图为我院领导与外国专家正在就办学进行洽谈</w:t>
      </w:r>
    </w:p>
    <w:p>
      <w:pPr>
        <w:pStyle w:val="6"/>
        <w:widowControl/>
        <w:spacing w:beforeAutospacing="0" w:afterAutospacing="0" w:line="520" w:lineRule="exact"/>
        <w:ind w:firstLine="629"/>
        <w:rPr>
          <w:rFonts w:ascii="黑体" w:hAnsi="黑体" w:eastAsia="黑体" w:cs="黑体"/>
          <w:sz w:val="32"/>
          <w:szCs w:val="32"/>
        </w:rPr>
      </w:pPr>
      <w:r>
        <w:rPr>
          <w:rFonts w:hint="eastAsia" w:ascii="仿宋_GB2312" w:eastAsia="仿宋_GB2312" w:cstheme="minorBidi"/>
          <w:kern w:val="2"/>
          <w:sz w:val="28"/>
          <w:szCs w:val="28"/>
        </w:rPr>
        <w:t>迅达电梯校企合作项目美国特莱恩大学本硕连读项目是国家教育部第一批承认学历的国外大学合作项目,只有迅达校企合作学校的大专毕业生才能共享这一特别的本硕留学通道。我院作为迅达（中国）电梯有限公司校企合作的金牌院校，学生将获得出国留学的机会。入选学生免试英语托福、雅思考核，由录取学校进行英语强化培训、自主考核确认，确保语言顺畅、适应国外生活。学生第一年在美国特莱恩大学新加坡分校——南洋现代管理学院进行本科阶段的学习，第二年在美国进行研究生阶段的学习，取得工程管理硕士学位；第三年在美国带薪实习，毕业后可安排在国外企业和国内跨国企业高层工程、技术管理岗位。</w:t>
      </w:r>
    </w:p>
    <w:p>
      <w:pPr>
        <w:rPr>
          <w:rFonts w:ascii="黑体" w:hAnsi="黑体" w:eastAsia="黑体" w:cs="黑体"/>
          <w:sz w:val="32"/>
          <w:szCs w:val="32"/>
        </w:rPr>
      </w:pPr>
      <w:bookmarkStart w:id="195" w:name="_Toc10702"/>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bookmarkStart w:id="196" w:name="_Toc7084"/>
      <w:bookmarkStart w:id="197" w:name="_Toc30556"/>
      <w:bookmarkStart w:id="198" w:name="_Toc6806"/>
      <w:bookmarkStart w:id="199" w:name="_Toc13068"/>
      <w:bookmarkStart w:id="200" w:name="_Toc15600"/>
      <w:bookmarkStart w:id="201" w:name="_Toc1953"/>
      <w:r>
        <w:rPr>
          <w:rFonts w:hint="eastAsia" w:ascii="黑体" w:hAnsi="黑体" w:eastAsia="黑体" w:cs="黑体"/>
          <w:sz w:val="32"/>
          <w:szCs w:val="32"/>
        </w:rPr>
        <w:t>6.改革创新</w:t>
      </w:r>
      <w:bookmarkEnd w:id="195"/>
      <w:bookmarkEnd w:id="196"/>
      <w:bookmarkEnd w:id="197"/>
      <w:bookmarkEnd w:id="198"/>
      <w:bookmarkEnd w:id="199"/>
      <w:bookmarkEnd w:id="200"/>
      <w:bookmarkEnd w:id="201"/>
    </w:p>
    <w:p>
      <w:pPr>
        <w:spacing w:line="520" w:lineRule="exact"/>
        <w:rPr>
          <w:rFonts w:ascii="仿宋_GB2312" w:hAnsi="仿宋_GB2312" w:eastAsia="仿宋_GB2312" w:cs="仿宋_GB2312"/>
          <w:b/>
          <w:bCs/>
          <w:sz w:val="28"/>
          <w:szCs w:val="28"/>
        </w:rPr>
      </w:pPr>
      <w:bookmarkStart w:id="202" w:name="_Toc14750"/>
      <w:bookmarkStart w:id="203" w:name="_Toc9227"/>
      <w:bookmarkStart w:id="204" w:name="_Toc30815"/>
      <w:bookmarkStart w:id="205" w:name="_Toc13771"/>
      <w:bookmarkStart w:id="206" w:name="_Toc2994"/>
      <w:bookmarkStart w:id="207" w:name="_Toc12899"/>
      <w:bookmarkStart w:id="208" w:name="_Toc15565"/>
      <w:r>
        <w:rPr>
          <w:rFonts w:hint="eastAsia" w:ascii="仿宋_GB2312" w:hAnsi="仿宋_GB2312" w:eastAsia="仿宋_GB2312" w:cs="仿宋_GB2312"/>
          <w:b/>
          <w:bCs/>
          <w:sz w:val="28"/>
          <w:szCs w:val="28"/>
        </w:rPr>
        <w:t>6.1创新举措</w:t>
      </w:r>
      <w:bookmarkEnd w:id="202"/>
      <w:bookmarkEnd w:id="203"/>
      <w:bookmarkEnd w:id="204"/>
      <w:bookmarkEnd w:id="205"/>
      <w:bookmarkEnd w:id="206"/>
      <w:bookmarkEnd w:id="207"/>
      <w:bookmarkEnd w:id="208"/>
    </w:p>
    <w:p>
      <w:pPr>
        <w:spacing w:line="52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探索混合所有制办学</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针对学院地处欠发达地区，政府投入不足，优秀师资缺乏，特色专业培育困难，专业竞争力不强，学院在充分调研基础上，决定通过校企深度融合，形成紧密利益共同体，借助先进企业的优势，迅速提升学院办学水平和条件。</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自2014年开始，学院首先与湖南百捷公司合作，成立百捷互联网学院，共同培养信息技术人才。双方以契约形式明确了各自在人才培养中的职责：我院负责提供教学场所，以百捷订单班形式招收学生，承担公共课和专业基础课教学；百捷公司负责提供教学用计算机和其它成套设备，承担专业核心课教学，安排学生到公司实习和就业。计算机应用、电子商务、移动互联技术等专业先后成为共建专业。</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在取得校企融合合作经验基础上，学院通过多方考察，多轮洽谈，2016年9月，与迅达（中国）电梯有限公司签署合作协议，双方共建独立的二级学院——电梯工程学院，以电梯工程技术应用人才培养为核心，打造产学研于一体的利益共同体。合作内容主要有：第一，由我院负责按迅达公司要求建设好教学场地，迅达公司提供价值约2000万元的设备给学院使用。第二，双方共同管理电梯工程学院，聘请迅达公司校企合作总监为学院院长，引进迅达公司管理模式和企业文化，进行企业化管理。第三，双方共同培养电梯工程技术人才，除学历教育外，涵盖社会培训、企业培训、职业技能鉴定等。第四，按迅达公司岗位技能要求，双方共同培养电梯工程专业教学师资。第五，双方共同建设电梯工程技术专业，根据迅达公司员工工作职责、任务和工作流程，构建课程体系，开发专业课程和教材。第六，双方共同建设电梯工程技术实习实训基地，将其打造成中南地区最大的教学基地和企业培训中心。</w:t>
      </w:r>
    </w:p>
    <w:p>
      <w:pPr>
        <w:spacing w:line="520" w:lineRule="exact"/>
        <w:ind w:firstLine="560" w:firstLineChars="200"/>
        <w:rPr>
          <w:rFonts w:ascii="宋体" w:hAnsi="宋体" w:eastAsia="宋体" w:cs="宋体"/>
          <w:color w:val="000000"/>
        </w:rPr>
      </w:pPr>
      <w:r>
        <w:rPr>
          <w:rFonts w:hint="eastAsia" w:ascii="仿宋_GB2312" w:hAnsi="仿宋_GB2312" w:eastAsia="仿宋_GB2312" w:cs="仿宋_GB2312"/>
          <w:sz w:val="28"/>
          <w:szCs w:val="28"/>
        </w:rPr>
        <w:t>2017年校企合作进一步推进，与广东睿昌智能制造科技发展有限公司签署协议，共建汽车与智能学院，委派人员担任院长，为学院提供近1000万元的汽车机器人设备，派遣技术人员承担学生实训课程等。此外，学院还与湖南宝东农牧发展有限公司、城步苗绣文化开发有限公司等企业签订类似合作协议。</w:t>
      </w:r>
    </w:p>
    <w:p>
      <w:pPr>
        <w:ind w:firstLine="482" w:firstLineChars="200"/>
        <w:jc w:val="center"/>
        <w:rPr>
          <w:rFonts w:ascii="宋体" w:hAnsi="宋体" w:eastAsia="宋体" w:cs="宋体"/>
          <w:color w:val="000000"/>
          <w:sz w:val="24"/>
          <w:szCs w:val="24"/>
        </w:rPr>
      </w:pPr>
      <w:r>
        <w:rPr>
          <w:rFonts w:hint="eastAsia" w:ascii="仿宋_GB2312" w:hAnsi="仿宋_GB2312" w:eastAsia="仿宋_GB2312" w:cs="仿宋_GB2312"/>
          <w:b/>
          <w:bCs/>
          <w:sz w:val="24"/>
          <w:szCs w:val="24"/>
        </w:rPr>
        <w:t>表</w:t>
      </w:r>
      <w:r>
        <w:rPr>
          <w:rFonts w:hint="eastAsia" w:ascii="Times New Roman" w:hAnsi="Times New Roman" w:eastAsia="仿宋_GB2312"/>
          <w:b/>
          <w:bCs/>
          <w:sz w:val="24"/>
          <w:szCs w:val="24"/>
        </w:rPr>
        <w:t xml:space="preserve">6-1 </w:t>
      </w:r>
      <w:r>
        <w:rPr>
          <w:rFonts w:hint="eastAsia" w:ascii="仿宋_GB2312" w:hAnsi="仿宋_GB2312" w:eastAsia="仿宋_GB2312" w:cs="仿宋_GB2312"/>
          <w:b/>
          <w:bCs/>
          <w:sz w:val="24"/>
          <w:szCs w:val="24"/>
        </w:rPr>
        <w:t xml:space="preserve"> 混合所有制办学情况表</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2873"/>
        <w:gridCol w:w="1740"/>
        <w:gridCol w:w="1313"/>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976" w:type="dxa"/>
            <w:tcBorders>
              <w:top w:val="single" w:color="auto" w:sz="12" w:space="0"/>
              <w:left w:val="single" w:color="auto" w:sz="12" w:space="0"/>
            </w:tcBorders>
            <w:vAlign w:val="center"/>
          </w:tcPr>
          <w:p>
            <w:pPr>
              <w:jc w:val="center"/>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序号</w:t>
            </w:r>
          </w:p>
        </w:tc>
        <w:tc>
          <w:tcPr>
            <w:tcW w:w="2873" w:type="dxa"/>
            <w:tcBorders>
              <w:top w:val="single" w:color="auto" w:sz="12" w:space="0"/>
            </w:tcBorders>
            <w:vAlign w:val="center"/>
          </w:tcPr>
          <w:p>
            <w:pPr>
              <w:ind w:firstLine="1205" w:firstLineChars="500"/>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指 标</w:t>
            </w:r>
          </w:p>
        </w:tc>
        <w:tc>
          <w:tcPr>
            <w:tcW w:w="1740" w:type="dxa"/>
            <w:tcBorders>
              <w:top w:val="single" w:color="auto" w:sz="12" w:space="0"/>
            </w:tcBorders>
            <w:vAlign w:val="center"/>
          </w:tcPr>
          <w:p>
            <w:pPr>
              <w:jc w:val="center"/>
            </w:pPr>
            <w:r>
              <w:rPr>
                <w:rFonts w:hint="eastAsia" w:ascii="Times New Roman" w:hAnsi="Times New Roman" w:eastAsia="仿宋_GB2312"/>
                <w:b/>
                <w:bCs/>
              </w:rPr>
              <w:t>2016</w:t>
            </w:r>
            <w:r>
              <w:rPr>
                <w:rFonts w:hint="eastAsia" w:ascii="仿宋_GB2312" w:hAnsi="仿宋_GB2312" w:eastAsia="仿宋_GB2312" w:cs="仿宋_GB2312"/>
                <w:b/>
                <w:bCs/>
                <w:sz w:val="24"/>
                <w:szCs w:val="24"/>
                <w:lang w:eastAsia="zh-CN"/>
              </w:rPr>
              <w:t>年</w:t>
            </w:r>
          </w:p>
        </w:tc>
        <w:tc>
          <w:tcPr>
            <w:tcW w:w="1313" w:type="dxa"/>
            <w:tcBorders>
              <w:top w:val="single" w:color="auto" w:sz="12" w:space="0"/>
            </w:tcBorders>
            <w:vAlign w:val="center"/>
          </w:tcPr>
          <w:p>
            <w:pPr>
              <w:jc w:val="center"/>
            </w:pPr>
            <w:r>
              <w:rPr>
                <w:rFonts w:hint="eastAsia" w:ascii="Times New Roman" w:hAnsi="Times New Roman" w:eastAsia="仿宋_GB2312"/>
                <w:b/>
                <w:bCs/>
              </w:rPr>
              <w:t>2017</w:t>
            </w:r>
            <w:r>
              <w:rPr>
                <w:rFonts w:hint="eastAsia" w:ascii="仿宋_GB2312" w:hAnsi="仿宋_GB2312" w:eastAsia="仿宋_GB2312" w:cs="仿宋_GB2312"/>
                <w:b/>
                <w:bCs/>
                <w:sz w:val="24"/>
                <w:szCs w:val="24"/>
                <w:lang w:eastAsia="zh-CN"/>
              </w:rPr>
              <w:t>年</w:t>
            </w:r>
          </w:p>
        </w:tc>
        <w:tc>
          <w:tcPr>
            <w:tcW w:w="1620" w:type="dxa"/>
            <w:tcBorders>
              <w:top w:val="single" w:color="auto" w:sz="12" w:space="0"/>
              <w:right w:val="single" w:color="auto" w:sz="12" w:space="0"/>
            </w:tcBorders>
            <w:vAlign w:val="center"/>
          </w:tcPr>
          <w:p>
            <w:pPr>
              <w:jc w:val="center"/>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增长率（倍）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976" w:type="dxa"/>
            <w:tcBorders>
              <w:left w:val="single" w:color="auto" w:sz="12"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2873" w:type="dxa"/>
            <w:vAlign w:val="center"/>
          </w:tcPr>
          <w:p>
            <w:pPr>
              <w:ind w:firstLine="420" w:firstLineChars="200"/>
              <w:jc w:val="center"/>
              <w:rPr>
                <w:rFonts w:ascii="仿宋_GB2312" w:hAnsi="仿宋_GB2312" w:eastAsia="仿宋_GB2312" w:cs="仿宋_GB2312"/>
              </w:rPr>
            </w:pPr>
            <w:r>
              <w:rPr>
                <w:rFonts w:hint="eastAsia" w:ascii="仿宋_GB2312" w:hAnsi="仿宋_GB2312" w:eastAsia="仿宋_GB2312" w:cs="仿宋_GB2312"/>
              </w:rPr>
              <w:t>合作专业（个）</w:t>
            </w:r>
          </w:p>
        </w:tc>
        <w:tc>
          <w:tcPr>
            <w:tcW w:w="1740" w:type="dxa"/>
            <w:vAlign w:val="center"/>
          </w:tcPr>
          <w:p>
            <w:pPr>
              <w:jc w:val="center"/>
              <w:rPr>
                <w:rFonts w:ascii="Times New Roman" w:hAnsi="Times New Roman" w:eastAsia="仿宋_GB2312"/>
              </w:rPr>
            </w:pPr>
            <w:r>
              <w:rPr>
                <w:rFonts w:hint="eastAsia" w:ascii="Times New Roman" w:hAnsi="Times New Roman" w:eastAsia="仿宋_GB2312"/>
              </w:rPr>
              <w:t>2</w:t>
            </w:r>
          </w:p>
        </w:tc>
        <w:tc>
          <w:tcPr>
            <w:tcW w:w="1313" w:type="dxa"/>
            <w:vAlign w:val="center"/>
          </w:tcPr>
          <w:p>
            <w:pPr>
              <w:jc w:val="center"/>
              <w:rPr>
                <w:rFonts w:ascii="Times New Roman" w:hAnsi="Times New Roman" w:eastAsia="仿宋_GB2312"/>
              </w:rPr>
            </w:pPr>
            <w:r>
              <w:rPr>
                <w:rFonts w:hint="eastAsia" w:ascii="Times New Roman" w:hAnsi="Times New Roman" w:eastAsia="仿宋_GB2312"/>
              </w:rPr>
              <w:t>7</w:t>
            </w:r>
          </w:p>
        </w:tc>
        <w:tc>
          <w:tcPr>
            <w:tcW w:w="1620" w:type="dxa"/>
            <w:tcBorders>
              <w:right w:val="single" w:color="auto" w:sz="12" w:space="0"/>
            </w:tcBorders>
            <w:vAlign w:val="center"/>
          </w:tcPr>
          <w:p>
            <w:pPr>
              <w:jc w:val="center"/>
              <w:rPr>
                <w:rFonts w:ascii="Times New Roman" w:hAnsi="Times New Roman" w:eastAsia="仿宋_GB2312"/>
              </w:rPr>
            </w:pPr>
            <w:r>
              <w:rPr>
                <w:rFonts w:hint="eastAsia" w:ascii="Times New Roman" w:hAnsi="Times New Roman" w:eastAsia="仿宋_GB2312"/>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976" w:type="dxa"/>
            <w:tcBorders>
              <w:left w:val="single" w:color="auto" w:sz="12"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2873" w:type="dxa"/>
            <w:vAlign w:val="center"/>
          </w:tcPr>
          <w:p>
            <w:pPr>
              <w:ind w:firstLine="420" w:firstLineChars="200"/>
              <w:jc w:val="center"/>
              <w:rPr>
                <w:rFonts w:ascii="仿宋_GB2312" w:hAnsi="仿宋_GB2312" w:eastAsia="仿宋_GB2312" w:cs="仿宋_GB2312"/>
              </w:rPr>
            </w:pPr>
            <w:r>
              <w:rPr>
                <w:rFonts w:hint="eastAsia" w:ascii="仿宋_GB2312" w:hAnsi="仿宋_GB2312" w:eastAsia="仿宋_GB2312" w:cs="仿宋_GB2312"/>
              </w:rPr>
              <w:t>学生数（人）</w:t>
            </w:r>
          </w:p>
        </w:tc>
        <w:tc>
          <w:tcPr>
            <w:tcW w:w="1740" w:type="dxa"/>
            <w:vAlign w:val="center"/>
          </w:tcPr>
          <w:p>
            <w:pPr>
              <w:jc w:val="center"/>
              <w:rPr>
                <w:rFonts w:ascii="Times New Roman" w:hAnsi="Times New Roman" w:eastAsia="仿宋_GB2312"/>
              </w:rPr>
            </w:pPr>
            <w:r>
              <w:rPr>
                <w:rFonts w:hint="eastAsia" w:ascii="Times New Roman" w:hAnsi="Times New Roman" w:eastAsia="仿宋_GB2312"/>
              </w:rPr>
              <w:t>44</w:t>
            </w:r>
          </w:p>
        </w:tc>
        <w:tc>
          <w:tcPr>
            <w:tcW w:w="1313" w:type="dxa"/>
            <w:vAlign w:val="center"/>
          </w:tcPr>
          <w:p>
            <w:pPr>
              <w:jc w:val="center"/>
              <w:rPr>
                <w:rFonts w:ascii="Times New Roman" w:hAnsi="Times New Roman" w:eastAsia="仿宋_GB2312"/>
              </w:rPr>
            </w:pPr>
            <w:r>
              <w:rPr>
                <w:rFonts w:hint="eastAsia" w:ascii="Times New Roman" w:hAnsi="Times New Roman" w:eastAsia="仿宋_GB2312"/>
              </w:rPr>
              <w:t>750</w:t>
            </w:r>
          </w:p>
        </w:tc>
        <w:tc>
          <w:tcPr>
            <w:tcW w:w="1620" w:type="dxa"/>
            <w:tcBorders>
              <w:right w:val="single" w:color="auto" w:sz="12" w:space="0"/>
            </w:tcBorders>
            <w:vAlign w:val="center"/>
          </w:tcPr>
          <w:p>
            <w:pPr>
              <w:jc w:val="center"/>
              <w:rPr>
                <w:rFonts w:ascii="Times New Roman" w:hAnsi="Times New Roman" w:eastAsia="仿宋_GB2312"/>
              </w:rPr>
            </w:pPr>
            <w:r>
              <w:rPr>
                <w:rFonts w:hint="eastAsia" w:ascii="Times New Roman" w:hAnsi="Times New Roman" w:eastAsia="仿宋_GB2312"/>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976" w:type="dxa"/>
            <w:tcBorders>
              <w:left w:val="single" w:color="auto" w:sz="12" w:space="0"/>
              <w:bottom w:val="single" w:color="auto" w:sz="12"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2873" w:type="dxa"/>
            <w:tcBorders>
              <w:bottom w:val="single" w:color="auto" w:sz="12" w:space="0"/>
            </w:tcBorders>
            <w:vAlign w:val="center"/>
          </w:tcPr>
          <w:p>
            <w:pPr>
              <w:ind w:firstLine="420" w:firstLineChars="200"/>
              <w:jc w:val="center"/>
              <w:rPr>
                <w:rFonts w:ascii="仿宋_GB2312" w:hAnsi="仿宋_GB2312" w:eastAsia="仿宋_GB2312" w:cs="仿宋_GB2312"/>
              </w:rPr>
            </w:pPr>
            <w:r>
              <w:rPr>
                <w:rFonts w:hint="eastAsia" w:ascii="仿宋_GB2312" w:hAnsi="仿宋_GB2312" w:eastAsia="仿宋_GB2312" w:cs="仿宋_GB2312"/>
              </w:rPr>
              <w:t>企业投入设备（万元）</w:t>
            </w:r>
          </w:p>
        </w:tc>
        <w:tc>
          <w:tcPr>
            <w:tcW w:w="1740" w:type="dxa"/>
            <w:tcBorders>
              <w:bottom w:val="single" w:color="auto" w:sz="12" w:space="0"/>
            </w:tcBorders>
            <w:vAlign w:val="center"/>
          </w:tcPr>
          <w:p>
            <w:pPr>
              <w:jc w:val="center"/>
              <w:rPr>
                <w:rFonts w:ascii="Times New Roman" w:hAnsi="Times New Roman" w:eastAsia="仿宋_GB2312"/>
              </w:rPr>
            </w:pPr>
            <w:r>
              <w:rPr>
                <w:rFonts w:hint="eastAsia" w:ascii="Times New Roman" w:hAnsi="Times New Roman" w:eastAsia="仿宋_GB2312"/>
              </w:rPr>
              <w:t>50</w:t>
            </w:r>
          </w:p>
        </w:tc>
        <w:tc>
          <w:tcPr>
            <w:tcW w:w="1313" w:type="dxa"/>
            <w:tcBorders>
              <w:bottom w:val="single" w:color="auto" w:sz="12" w:space="0"/>
            </w:tcBorders>
            <w:vAlign w:val="center"/>
          </w:tcPr>
          <w:p>
            <w:pPr>
              <w:jc w:val="center"/>
              <w:rPr>
                <w:rFonts w:ascii="Times New Roman" w:hAnsi="Times New Roman" w:eastAsia="仿宋_GB2312"/>
              </w:rPr>
            </w:pPr>
            <w:r>
              <w:rPr>
                <w:rFonts w:hint="eastAsia" w:ascii="Times New Roman" w:hAnsi="Times New Roman" w:eastAsia="仿宋_GB2312"/>
              </w:rPr>
              <w:t>1000</w:t>
            </w:r>
          </w:p>
        </w:tc>
        <w:tc>
          <w:tcPr>
            <w:tcW w:w="1620" w:type="dxa"/>
            <w:tcBorders>
              <w:bottom w:val="single" w:color="auto" w:sz="12" w:space="0"/>
              <w:right w:val="single" w:color="auto" w:sz="12" w:space="0"/>
            </w:tcBorders>
            <w:vAlign w:val="center"/>
          </w:tcPr>
          <w:p>
            <w:pPr>
              <w:jc w:val="center"/>
              <w:rPr>
                <w:rFonts w:ascii="Times New Roman" w:hAnsi="Times New Roman" w:eastAsia="仿宋_GB2312"/>
              </w:rPr>
            </w:pPr>
            <w:r>
              <w:rPr>
                <w:rFonts w:hint="eastAsia" w:ascii="Times New Roman" w:hAnsi="Times New Roman" w:eastAsia="仿宋_GB2312"/>
              </w:rPr>
              <w:t>20</w:t>
            </w:r>
          </w:p>
        </w:tc>
      </w:tr>
    </w:tbl>
    <w:p>
      <w:pPr>
        <w:jc w:val="center"/>
        <w:rPr>
          <w:rFonts w:ascii="楷体" w:hAnsi="楷体" w:eastAsia="楷体" w:cs="楷体"/>
        </w:rPr>
      </w:pPr>
      <w:r>
        <w:rPr>
          <w:rFonts w:hint="eastAsia" w:ascii="楷体" w:hAnsi="楷体" w:eastAsia="楷体" w:cs="楷体"/>
        </w:rPr>
        <w:t>数据来源：学院教务处</w:t>
      </w:r>
    </w:p>
    <w:p>
      <w:pPr>
        <w:spacing w:line="520" w:lineRule="exact"/>
        <w:rPr>
          <w:rFonts w:ascii="仿宋_GB2312" w:hAnsi="仿宋_GB2312" w:eastAsia="仿宋_GB2312" w:cs="仿宋_GB2312"/>
          <w:b/>
          <w:bCs/>
          <w:sz w:val="28"/>
          <w:szCs w:val="28"/>
        </w:rPr>
      </w:pPr>
      <w:bookmarkStart w:id="209" w:name="_Toc2411"/>
      <w:bookmarkStart w:id="210" w:name="_Toc5223"/>
      <w:bookmarkStart w:id="211" w:name="_Toc13188"/>
      <w:bookmarkStart w:id="212" w:name="_Toc1389"/>
      <w:bookmarkStart w:id="213" w:name="_Toc18510"/>
      <w:bookmarkStart w:id="214" w:name="_Toc5828"/>
      <w:bookmarkStart w:id="215" w:name="_Toc3511"/>
      <w:r>
        <w:rPr>
          <w:rFonts w:hint="eastAsia" w:ascii="仿宋_GB2312" w:hAnsi="仿宋_GB2312" w:eastAsia="仿宋_GB2312" w:cs="仿宋_GB2312"/>
          <w:b/>
          <w:bCs/>
          <w:sz w:val="28"/>
          <w:szCs w:val="28"/>
        </w:rPr>
        <w:t>6.2创新成果</w:t>
      </w:r>
      <w:bookmarkEnd w:id="209"/>
      <w:bookmarkEnd w:id="210"/>
      <w:bookmarkEnd w:id="211"/>
      <w:bookmarkEnd w:id="212"/>
      <w:bookmarkEnd w:id="213"/>
      <w:bookmarkEnd w:id="214"/>
      <w:bookmarkEnd w:id="215"/>
    </w:p>
    <w:p>
      <w:pPr>
        <w:spacing w:line="52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（1）合作专业的办学条件得到大幅提高</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通过校企深度合作，企业舍得投入资金或设备，迅速改变了专业实训条件。仅2017年，学院接收企业设备价值1000余万元，弥补了学院建设资金的不足。电梯实训车间建筑面积5800平米，设施设备先进，使我院电梯专业设备的数量和质量迅速进入全国第一集团。</w:t>
      </w:r>
    </w:p>
    <w:p>
      <w:pPr>
        <w:spacing w:line="52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（2）师资水平迅速提高</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电子商务专业教师缺乏企业工作经验，实践教学水平不高，通过与百捷公司合作，引进企业师资担任核心课教学，使学生的专业技能大幅提高，该专业学生技能抽查成绩取得优秀。电梯工程技术专业已在迅达公司的安排下，进行了全员培训，操作技能达到了迅达公司的要求。</w:t>
      </w:r>
    </w:p>
    <w:p>
      <w:pPr>
        <w:spacing w:line="52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（3）真正实现了就业零距离</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由于采取订单培养，工学结合，所学就是将来工作所用，同时，企业负责安排实习和就业，确保合格学生一到企业就能迅速上岗。今年第一批百捷互联网学院毕业生已全部被安排到百度公司实习。</w:t>
      </w:r>
    </w:p>
    <w:p>
      <w:pPr>
        <w:spacing w:line="52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（4）人才培养质量得到较大提高</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通过引进企业管理模式和文化，学生身心素质提高较快，职业素养得到大幅提高，学风明显改善。</w:t>
      </w:r>
    </w:p>
    <w:p>
      <w:pPr>
        <w:spacing w:line="52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（5）起到了良好的示范作用</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政府领导、外国友人和兄弟院校参观电梯学院后，充分肯定学院的校企合作举措，对学院的发展前景充满信心。</w:t>
      </w:r>
    </w:p>
    <w:p>
      <w:pPr>
        <w:jc w:val="center"/>
        <w:rPr>
          <w:rFonts w:ascii="仿宋_GB2312" w:hAnsi="仿宋_GB2312" w:eastAsia="仿宋_GB2312" w:cs="仿宋_GB2312"/>
          <w:b/>
          <w:bCs/>
          <w:sz w:val="32"/>
          <w:szCs w:val="32"/>
        </w:rPr>
      </w:pPr>
      <w:r>
        <w:rPr>
          <w:rFonts w:ascii="宋体" w:hAnsi="宋体" w:eastAsia="宋体" w:cs="宋体"/>
          <w:sz w:val="24"/>
          <w:szCs w:val="24"/>
        </w:rPr>
        <w:drawing>
          <wp:inline distT="0" distB="0" distL="114300" distR="114300">
            <wp:extent cx="4507230" cy="3002915"/>
            <wp:effectExtent l="0" t="0" r="7620" b="6985"/>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51"/>
                    <a:stretch>
                      <a:fillRect/>
                    </a:stretch>
                  </pic:blipFill>
                  <pic:spPr>
                    <a:xfrm>
                      <a:off x="0" y="0"/>
                      <a:ext cx="4507230" cy="3002915"/>
                    </a:xfrm>
                    <a:prstGeom prst="rect">
                      <a:avLst/>
                    </a:prstGeom>
                    <a:noFill/>
                    <a:ln w="9525">
                      <a:noFill/>
                    </a:ln>
                  </pic:spPr>
                </pic:pic>
              </a:graphicData>
            </a:graphic>
          </wp:inline>
        </w:drawing>
      </w:r>
    </w:p>
    <w:p>
      <w:pPr>
        <w:jc w:val="center"/>
        <w:rPr>
          <w:rFonts w:ascii="楷体" w:hAnsi="楷体" w:eastAsia="楷体" w:cs="楷体"/>
        </w:rPr>
      </w:pPr>
      <w:r>
        <w:rPr>
          <w:rFonts w:hint="eastAsia" w:ascii="楷体" w:hAnsi="楷体" w:eastAsia="楷体" w:cs="楷体"/>
        </w:rPr>
        <w:t>图为学院领导陪同兄弟院校领导考察电梯工程技术实训中心</w:t>
      </w:r>
    </w:p>
    <w:p>
      <w:pPr>
        <w:rPr>
          <w:rFonts w:ascii="仿宋_GB2312" w:hAnsi="仿宋_GB2312" w:eastAsia="仿宋_GB2312" w:cs="仿宋_GB2312"/>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bookmarkStart w:id="216" w:name="_Toc12986"/>
      <w:bookmarkStart w:id="217" w:name="_Toc6535"/>
      <w:bookmarkStart w:id="218" w:name="_Toc6540"/>
      <w:bookmarkStart w:id="219" w:name="_Toc15739"/>
      <w:bookmarkStart w:id="220" w:name="_Toc21470"/>
      <w:bookmarkStart w:id="221" w:name="_Toc14013"/>
      <w:bookmarkStart w:id="222" w:name="_Toc13148"/>
      <w:r>
        <w:rPr>
          <w:rFonts w:hint="eastAsia" w:ascii="黑体" w:hAnsi="黑体" w:eastAsia="黑体" w:cs="黑体"/>
          <w:sz w:val="32"/>
          <w:szCs w:val="32"/>
        </w:rPr>
        <w:t>7.服务贡献</w:t>
      </w:r>
      <w:bookmarkEnd w:id="216"/>
      <w:bookmarkEnd w:id="217"/>
      <w:bookmarkEnd w:id="218"/>
      <w:bookmarkEnd w:id="219"/>
      <w:bookmarkEnd w:id="220"/>
      <w:bookmarkEnd w:id="221"/>
      <w:bookmarkEnd w:id="222"/>
    </w:p>
    <w:p>
      <w:pPr>
        <w:spacing w:line="520" w:lineRule="exact"/>
        <w:rPr>
          <w:rFonts w:ascii="仿宋_GB2312" w:hAnsi="仿宋_GB2312" w:eastAsia="仿宋_GB2312" w:cs="仿宋_GB2312"/>
          <w:b/>
          <w:bCs/>
          <w:sz w:val="28"/>
          <w:szCs w:val="28"/>
        </w:rPr>
      </w:pPr>
      <w:bookmarkStart w:id="223" w:name="_Toc8421"/>
      <w:bookmarkStart w:id="224" w:name="_Toc8620"/>
      <w:bookmarkStart w:id="225" w:name="_Toc10201"/>
      <w:bookmarkStart w:id="226" w:name="_Toc27940"/>
      <w:bookmarkStart w:id="227" w:name="_Toc25812"/>
      <w:bookmarkStart w:id="228" w:name="_Toc4993"/>
      <w:bookmarkStart w:id="229" w:name="_Toc31794"/>
      <w:r>
        <w:rPr>
          <w:rFonts w:hint="eastAsia" w:ascii="仿宋_GB2312" w:hAnsi="仿宋_GB2312" w:eastAsia="仿宋_GB2312" w:cs="仿宋_GB2312"/>
          <w:b/>
          <w:bCs/>
          <w:sz w:val="28"/>
          <w:szCs w:val="28"/>
        </w:rPr>
        <w:t>7.1服务贡献表</w:t>
      </w:r>
      <w:bookmarkEnd w:id="223"/>
      <w:bookmarkEnd w:id="224"/>
      <w:bookmarkEnd w:id="225"/>
      <w:bookmarkEnd w:id="226"/>
      <w:bookmarkEnd w:id="227"/>
      <w:bookmarkEnd w:id="228"/>
      <w:bookmarkEnd w:id="229"/>
    </w:p>
    <w:p>
      <w:pPr>
        <w:spacing w:line="52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服务贡献表中非学历培训到款额、公益性培训服务等有较大增幅；毕业生人数和当年就业人数有所降低。</w:t>
      </w:r>
    </w:p>
    <w:p>
      <w:pPr>
        <w:ind w:firstLine="482" w:firstLineChars="200"/>
        <w:jc w:val="center"/>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表</w:t>
      </w:r>
      <w:r>
        <w:rPr>
          <w:rFonts w:hint="eastAsia" w:ascii="Times New Roman" w:hAnsi="Times New Roman" w:eastAsia="仿宋_GB2312"/>
          <w:b/>
          <w:bCs/>
        </w:rPr>
        <w:t>7-1</w:t>
      </w:r>
      <w:r>
        <w:rPr>
          <w:rFonts w:hint="eastAsia" w:ascii="仿宋_GB2312" w:hAnsi="仿宋_GB2312" w:eastAsia="仿宋_GB2312" w:cs="仿宋_GB2312"/>
          <w:b/>
          <w:bCs/>
          <w:sz w:val="24"/>
          <w:szCs w:val="24"/>
        </w:rPr>
        <w:t xml:space="preserve">  服务贡献表</w:t>
      </w:r>
    </w:p>
    <w:tbl>
      <w:tblPr>
        <w:tblStyle w:val="9"/>
        <w:tblW w:w="850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2"/>
        <w:gridCol w:w="713"/>
        <w:gridCol w:w="462"/>
        <w:gridCol w:w="2949"/>
        <w:gridCol w:w="805"/>
        <w:gridCol w:w="914"/>
        <w:gridCol w:w="965"/>
        <w:gridCol w:w="9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2" w:type="dxa"/>
            <w:tcBorders>
              <w:tl2br w:val="nil"/>
              <w:tr2bl w:val="nil"/>
            </w:tcBorders>
            <w:vAlign w:val="center"/>
          </w:tcPr>
          <w:p>
            <w:pPr>
              <w:jc w:val="center"/>
              <w:rPr>
                <w:rFonts w:ascii="仿宋_GB2312" w:hAnsi="仿宋_GB2312" w:eastAsia="仿宋_GB2312" w:cs="仿宋_GB2312"/>
                <w:b/>
              </w:rPr>
            </w:pPr>
            <w:r>
              <w:rPr>
                <w:rFonts w:hint="eastAsia" w:ascii="仿宋_GB2312" w:hAnsi="仿宋_GB2312" w:eastAsia="仿宋_GB2312" w:cs="仿宋_GB2312"/>
                <w:b/>
              </w:rPr>
              <w:t>院校</w:t>
            </w:r>
          </w:p>
          <w:p>
            <w:pPr>
              <w:jc w:val="center"/>
              <w:rPr>
                <w:rFonts w:ascii="仿宋_GB2312" w:hAnsi="仿宋_GB2312" w:eastAsia="仿宋_GB2312" w:cs="仿宋_GB2312"/>
                <w:b/>
              </w:rPr>
            </w:pPr>
            <w:r>
              <w:rPr>
                <w:rFonts w:hint="eastAsia" w:ascii="仿宋_GB2312" w:hAnsi="仿宋_GB2312" w:eastAsia="仿宋_GB2312" w:cs="仿宋_GB2312"/>
                <w:b/>
              </w:rPr>
              <w:t>代码</w:t>
            </w:r>
          </w:p>
        </w:tc>
        <w:tc>
          <w:tcPr>
            <w:tcW w:w="713" w:type="dxa"/>
            <w:tcBorders>
              <w:tl2br w:val="nil"/>
              <w:tr2bl w:val="nil"/>
            </w:tcBorders>
            <w:vAlign w:val="center"/>
          </w:tcPr>
          <w:p>
            <w:pPr>
              <w:jc w:val="center"/>
              <w:rPr>
                <w:rFonts w:ascii="仿宋_GB2312" w:hAnsi="仿宋_GB2312" w:eastAsia="仿宋_GB2312" w:cs="仿宋_GB2312"/>
                <w:b/>
              </w:rPr>
            </w:pPr>
            <w:r>
              <w:rPr>
                <w:rFonts w:hint="eastAsia" w:ascii="仿宋_GB2312" w:hAnsi="仿宋_GB2312" w:eastAsia="仿宋_GB2312" w:cs="仿宋_GB2312"/>
                <w:b/>
              </w:rPr>
              <w:t>院校</w:t>
            </w:r>
          </w:p>
          <w:p>
            <w:pPr>
              <w:jc w:val="center"/>
              <w:rPr>
                <w:rFonts w:ascii="仿宋_GB2312" w:hAnsi="仿宋_GB2312" w:eastAsia="仿宋_GB2312" w:cs="仿宋_GB2312"/>
                <w:b/>
              </w:rPr>
            </w:pPr>
            <w:r>
              <w:rPr>
                <w:rFonts w:hint="eastAsia" w:ascii="仿宋_GB2312" w:hAnsi="仿宋_GB2312" w:eastAsia="仿宋_GB2312" w:cs="仿宋_GB2312"/>
                <w:b/>
              </w:rPr>
              <w:t>名称</w:t>
            </w:r>
          </w:p>
        </w:tc>
        <w:tc>
          <w:tcPr>
            <w:tcW w:w="3411" w:type="dxa"/>
            <w:gridSpan w:val="2"/>
            <w:tcBorders>
              <w:tl2br w:val="nil"/>
              <w:tr2bl w:val="nil"/>
            </w:tcBorders>
            <w:vAlign w:val="center"/>
          </w:tcPr>
          <w:p>
            <w:pPr>
              <w:overflowPunct w:val="0"/>
              <w:jc w:val="center"/>
              <w:rPr>
                <w:rFonts w:ascii="仿宋_GB2312" w:hAnsi="仿宋_GB2312" w:eastAsia="仿宋_GB2312" w:cs="仿宋_GB2312"/>
                <w:b/>
              </w:rPr>
            </w:pPr>
            <w:r>
              <w:rPr>
                <w:rFonts w:hint="eastAsia" w:ascii="仿宋_GB2312" w:hAnsi="仿宋_GB2312" w:eastAsia="仿宋_GB2312" w:cs="仿宋_GB2312"/>
                <w:b/>
              </w:rPr>
              <w:t>指现标</w:t>
            </w:r>
          </w:p>
        </w:tc>
        <w:tc>
          <w:tcPr>
            <w:tcW w:w="805" w:type="dxa"/>
            <w:tcBorders>
              <w:tl2br w:val="nil"/>
              <w:tr2bl w:val="nil"/>
            </w:tcBorders>
            <w:vAlign w:val="center"/>
          </w:tcPr>
          <w:p>
            <w:pPr>
              <w:jc w:val="center"/>
              <w:rPr>
                <w:rFonts w:ascii="仿宋_GB2312" w:hAnsi="仿宋_GB2312" w:eastAsia="仿宋_GB2312" w:cs="仿宋_GB2312"/>
                <w:b/>
              </w:rPr>
            </w:pPr>
            <w:r>
              <w:rPr>
                <w:rFonts w:hint="eastAsia" w:ascii="仿宋_GB2312" w:hAnsi="仿宋_GB2312" w:eastAsia="仿宋_GB2312" w:cs="仿宋_GB2312"/>
                <w:b/>
              </w:rPr>
              <w:t>单位</w:t>
            </w:r>
          </w:p>
        </w:tc>
        <w:tc>
          <w:tcPr>
            <w:tcW w:w="914" w:type="dxa"/>
            <w:tcBorders>
              <w:tl2br w:val="nil"/>
              <w:tr2bl w:val="nil"/>
            </w:tcBorders>
            <w:vAlign w:val="center"/>
          </w:tcPr>
          <w:p>
            <w:pPr>
              <w:jc w:val="center"/>
              <w:rPr>
                <w:rFonts w:ascii="Times New Roman" w:hAnsi="Times New Roman" w:eastAsia="仿宋_GB2312"/>
                <w:b/>
                <w:bCs/>
              </w:rPr>
            </w:pPr>
            <w:r>
              <w:rPr>
                <w:rFonts w:hint="eastAsia" w:ascii="Times New Roman" w:hAnsi="Times New Roman" w:eastAsia="仿宋_GB2312"/>
                <w:b/>
                <w:bCs/>
              </w:rPr>
              <w:t>2016年</w:t>
            </w:r>
          </w:p>
        </w:tc>
        <w:tc>
          <w:tcPr>
            <w:tcW w:w="965" w:type="dxa"/>
            <w:tcBorders>
              <w:tl2br w:val="nil"/>
              <w:tr2bl w:val="nil"/>
            </w:tcBorders>
            <w:vAlign w:val="center"/>
          </w:tcPr>
          <w:p>
            <w:pPr>
              <w:jc w:val="center"/>
              <w:rPr>
                <w:rFonts w:ascii="Times New Roman" w:hAnsi="Times New Roman" w:eastAsia="仿宋_GB2312"/>
                <w:b/>
                <w:bCs/>
              </w:rPr>
            </w:pPr>
            <w:r>
              <w:rPr>
                <w:rFonts w:hint="eastAsia" w:ascii="Times New Roman" w:hAnsi="Times New Roman" w:eastAsia="仿宋_GB2312"/>
                <w:b/>
                <w:bCs/>
              </w:rPr>
              <w:t>2017年</w:t>
            </w:r>
          </w:p>
        </w:tc>
        <w:tc>
          <w:tcPr>
            <w:tcW w:w="950" w:type="dxa"/>
            <w:tcBorders>
              <w:tl2br w:val="nil"/>
              <w:tr2bl w:val="nil"/>
            </w:tcBorders>
            <w:vAlign w:val="center"/>
          </w:tcPr>
          <w:p>
            <w:pPr>
              <w:jc w:val="center"/>
              <w:rPr>
                <w:rFonts w:ascii="Times New Roman" w:hAnsi="Times New Roman" w:eastAsia="仿宋_GB2312"/>
                <w:b/>
                <w:bCs/>
              </w:rPr>
            </w:pPr>
            <w:r>
              <w:rPr>
                <w:rFonts w:hint="eastAsia" w:ascii="Times New Roman" w:hAnsi="Times New Roman" w:eastAsia="仿宋_GB2312"/>
                <w:b/>
                <w:bCs/>
              </w:rPr>
              <w:t>增长率（%）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42" w:type="dxa"/>
            <w:vMerge w:val="restart"/>
            <w:tcBorders>
              <w:tl2br w:val="nil"/>
              <w:tr2bl w:val="nil"/>
            </w:tcBorders>
            <w:vAlign w:val="center"/>
          </w:tcPr>
          <w:p>
            <w:pPr>
              <w:overflowPunct w:val="0"/>
              <w:jc w:val="left"/>
              <w:rPr>
                <w:rFonts w:ascii="仿宋_GB2312" w:hAnsi="仿宋_GB2312" w:eastAsia="仿宋_GB2312" w:cs="仿宋_GB2312"/>
                <w:bCs/>
              </w:rPr>
            </w:pPr>
            <w:r>
              <w:rPr>
                <w:rFonts w:hint="eastAsia" w:ascii="仿宋_GB2312" w:hAnsi="仿宋_GB2312" w:eastAsia="仿宋_GB2312" w:cs="仿宋_GB2312"/>
                <w:bCs/>
              </w:rPr>
              <w:t>12600</w:t>
            </w:r>
          </w:p>
        </w:tc>
        <w:tc>
          <w:tcPr>
            <w:tcW w:w="713" w:type="dxa"/>
            <w:vMerge w:val="restart"/>
            <w:tcBorders>
              <w:tl2br w:val="nil"/>
              <w:tr2bl w:val="nil"/>
            </w:tcBorders>
            <w:vAlign w:val="center"/>
          </w:tcPr>
          <w:p>
            <w:pPr>
              <w:overflowPunct w:val="0"/>
              <w:jc w:val="left"/>
              <w:rPr>
                <w:rFonts w:ascii="仿宋_GB2312" w:hAnsi="仿宋_GB2312" w:eastAsia="仿宋_GB2312" w:cs="仿宋_GB2312"/>
                <w:bCs/>
              </w:rPr>
            </w:pPr>
            <w:r>
              <w:rPr>
                <w:rFonts w:hint="eastAsia" w:ascii="仿宋_GB2312" w:hAnsi="仿宋_GB2312" w:eastAsia="仿宋_GB2312" w:cs="仿宋_GB2312"/>
                <w:bCs/>
              </w:rPr>
              <w:t>邵阳职业技术学院</w:t>
            </w:r>
          </w:p>
        </w:tc>
        <w:tc>
          <w:tcPr>
            <w:tcW w:w="462" w:type="dxa"/>
            <w:vMerge w:val="restart"/>
            <w:tcBorders>
              <w:tl2br w:val="nil"/>
              <w:tr2bl w:val="nil"/>
            </w:tcBorders>
            <w:vAlign w:val="center"/>
          </w:tcPr>
          <w:p>
            <w:pPr>
              <w:jc w:val="center"/>
              <w:rPr>
                <w:rFonts w:ascii="仿宋_GB2312" w:hAnsi="仿宋_GB2312" w:eastAsia="仿宋_GB2312" w:cs="仿宋_GB2312"/>
              </w:rPr>
            </w:pPr>
            <w:r>
              <w:rPr>
                <w:rFonts w:hint="eastAsia" w:ascii="仿宋_GB2312" w:hAnsi="仿宋_GB2312" w:eastAsia="仿宋_GB2312" w:cs="仿宋_GB2312"/>
              </w:rPr>
              <w:t>1</w:t>
            </w:r>
          </w:p>
        </w:tc>
        <w:tc>
          <w:tcPr>
            <w:tcW w:w="2949" w:type="dxa"/>
            <w:tcBorders>
              <w:tl2br w:val="nil"/>
              <w:tr2bl w:val="nil"/>
            </w:tcBorders>
          </w:tcPr>
          <w:p>
            <w:pPr>
              <w:jc w:val="left"/>
              <w:rPr>
                <w:rFonts w:ascii="仿宋_GB2312" w:hAnsi="仿宋_GB2312" w:eastAsia="仿宋_GB2312" w:cs="仿宋_GB2312"/>
              </w:rPr>
            </w:pPr>
            <w:r>
              <w:rPr>
                <w:rFonts w:hint="eastAsia" w:ascii="仿宋_GB2312" w:hAnsi="仿宋_GB2312" w:eastAsia="仿宋_GB2312" w:cs="仿宋_GB2312"/>
              </w:rPr>
              <w:t>全日制在校生人数</w:t>
            </w:r>
          </w:p>
        </w:tc>
        <w:tc>
          <w:tcPr>
            <w:tcW w:w="805" w:type="dxa"/>
            <w:tcBorders>
              <w:tl2br w:val="nil"/>
              <w:tr2bl w:val="nil"/>
            </w:tcBorders>
          </w:tcPr>
          <w:p>
            <w:pPr>
              <w:jc w:val="center"/>
              <w:rPr>
                <w:rFonts w:ascii="仿宋_GB2312" w:hAnsi="仿宋_GB2312" w:eastAsia="仿宋_GB2312" w:cs="仿宋_GB2312"/>
              </w:rPr>
            </w:pPr>
            <w:r>
              <w:rPr>
                <w:rFonts w:hint="eastAsia" w:ascii="仿宋_GB2312" w:hAnsi="仿宋_GB2312" w:eastAsia="仿宋_GB2312" w:cs="仿宋_GB2312"/>
              </w:rPr>
              <w:t>人</w:t>
            </w:r>
          </w:p>
        </w:tc>
        <w:tc>
          <w:tcPr>
            <w:tcW w:w="914"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3437</w:t>
            </w:r>
          </w:p>
        </w:tc>
        <w:tc>
          <w:tcPr>
            <w:tcW w:w="965"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3573</w:t>
            </w:r>
          </w:p>
        </w:tc>
        <w:tc>
          <w:tcPr>
            <w:tcW w:w="950"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3.96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42" w:type="dxa"/>
            <w:vMerge w:val="continue"/>
            <w:tcBorders>
              <w:tl2br w:val="nil"/>
              <w:tr2bl w:val="nil"/>
            </w:tcBorders>
          </w:tcPr>
          <w:p>
            <w:pPr>
              <w:overflowPunct w:val="0"/>
              <w:jc w:val="left"/>
              <w:rPr>
                <w:rFonts w:ascii="仿宋_GB2312" w:hAnsi="仿宋_GB2312" w:eastAsia="仿宋_GB2312" w:cs="仿宋_GB2312"/>
                <w:b/>
              </w:rPr>
            </w:pPr>
          </w:p>
        </w:tc>
        <w:tc>
          <w:tcPr>
            <w:tcW w:w="713" w:type="dxa"/>
            <w:vMerge w:val="continue"/>
            <w:tcBorders>
              <w:tl2br w:val="nil"/>
              <w:tr2bl w:val="nil"/>
            </w:tcBorders>
          </w:tcPr>
          <w:p>
            <w:pPr>
              <w:overflowPunct w:val="0"/>
              <w:jc w:val="left"/>
              <w:rPr>
                <w:rFonts w:ascii="仿宋_GB2312" w:hAnsi="仿宋_GB2312" w:eastAsia="仿宋_GB2312" w:cs="仿宋_GB2312"/>
                <w:b/>
              </w:rPr>
            </w:pPr>
          </w:p>
        </w:tc>
        <w:tc>
          <w:tcPr>
            <w:tcW w:w="462" w:type="dxa"/>
            <w:vMerge w:val="continue"/>
            <w:tcBorders>
              <w:tl2br w:val="nil"/>
              <w:tr2bl w:val="nil"/>
            </w:tcBorders>
          </w:tcPr>
          <w:p>
            <w:pPr>
              <w:overflowPunct w:val="0"/>
              <w:jc w:val="left"/>
              <w:rPr>
                <w:rFonts w:ascii="仿宋_GB2312" w:hAnsi="仿宋_GB2312" w:eastAsia="仿宋_GB2312" w:cs="仿宋_GB2312"/>
                <w:b/>
              </w:rPr>
            </w:pPr>
          </w:p>
        </w:tc>
        <w:tc>
          <w:tcPr>
            <w:tcW w:w="2949" w:type="dxa"/>
            <w:tcBorders>
              <w:tl2br w:val="nil"/>
              <w:tr2bl w:val="nil"/>
            </w:tcBorders>
          </w:tcPr>
          <w:p>
            <w:pPr>
              <w:jc w:val="left"/>
              <w:rPr>
                <w:rFonts w:ascii="仿宋_GB2312" w:hAnsi="仿宋_GB2312" w:eastAsia="仿宋_GB2312" w:cs="仿宋_GB2312"/>
              </w:rPr>
            </w:pPr>
            <w:r>
              <w:rPr>
                <w:rFonts w:hint="eastAsia" w:ascii="仿宋_GB2312" w:hAnsi="仿宋_GB2312" w:eastAsia="仿宋_GB2312" w:cs="仿宋_GB2312"/>
              </w:rPr>
              <w:t>毕业生人数</w:t>
            </w:r>
          </w:p>
        </w:tc>
        <w:tc>
          <w:tcPr>
            <w:tcW w:w="805" w:type="dxa"/>
            <w:tcBorders>
              <w:tl2br w:val="nil"/>
              <w:tr2bl w:val="nil"/>
            </w:tcBorders>
          </w:tcPr>
          <w:p>
            <w:pPr>
              <w:jc w:val="center"/>
              <w:rPr>
                <w:rFonts w:ascii="仿宋_GB2312" w:hAnsi="仿宋_GB2312" w:eastAsia="仿宋_GB2312" w:cs="仿宋_GB2312"/>
              </w:rPr>
            </w:pPr>
            <w:r>
              <w:rPr>
                <w:rFonts w:hint="eastAsia" w:ascii="仿宋_GB2312" w:hAnsi="仿宋_GB2312" w:eastAsia="仿宋_GB2312" w:cs="仿宋_GB2312"/>
              </w:rPr>
              <w:t>人</w:t>
            </w:r>
          </w:p>
        </w:tc>
        <w:tc>
          <w:tcPr>
            <w:tcW w:w="914"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1193</w:t>
            </w:r>
          </w:p>
        </w:tc>
        <w:tc>
          <w:tcPr>
            <w:tcW w:w="965"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985</w:t>
            </w:r>
          </w:p>
        </w:tc>
        <w:tc>
          <w:tcPr>
            <w:tcW w:w="950"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-17.43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42" w:type="dxa"/>
            <w:vMerge w:val="continue"/>
            <w:tcBorders>
              <w:tl2br w:val="nil"/>
              <w:tr2bl w:val="nil"/>
            </w:tcBorders>
          </w:tcPr>
          <w:p>
            <w:pPr>
              <w:overflowPunct w:val="0"/>
              <w:jc w:val="left"/>
              <w:rPr>
                <w:rFonts w:ascii="仿宋_GB2312" w:hAnsi="仿宋_GB2312" w:eastAsia="仿宋_GB2312" w:cs="仿宋_GB2312"/>
                <w:b/>
              </w:rPr>
            </w:pPr>
          </w:p>
        </w:tc>
        <w:tc>
          <w:tcPr>
            <w:tcW w:w="713" w:type="dxa"/>
            <w:vMerge w:val="continue"/>
            <w:tcBorders>
              <w:tl2br w:val="nil"/>
              <w:tr2bl w:val="nil"/>
            </w:tcBorders>
          </w:tcPr>
          <w:p>
            <w:pPr>
              <w:overflowPunct w:val="0"/>
              <w:jc w:val="left"/>
              <w:rPr>
                <w:rFonts w:ascii="仿宋_GB2312" w:hAnsi="仿宋_GB2312" w:eastAsia="仿宋_GB2312" w:cs="仿宋_GB2312"/>
                <w:b/>
              </w:rPr>
            </w:pPr>
          </w:p>
        </w:tc>
        <w:tc>
          <w:tcPr>
            <w:tcW w:w="462" w:type="dxa"/>
            <w:vMerge w:val="continue"/>
            <w:tcBorders>
              <w:tl2br w:val="nil"/>
              <w:tr2bl w:val="nil"/>
            </w:tcBorders>
          </w:tcPr>
          <w:p>
            <w:pPr>
              <w:overflowPunct w:val="0"/>
              <w:jc w:val="left"/>
              <w:rPr>
                <w:rFonts w:ascii="仿宋_GB2312" w:hAnsi="仿宋_GB2312" w:eastAsia="仿宋_GB2312" w:cs="仿宋_GB2312"/>
                <w:b/>
              </w:rPr>
            </w:pPr>
          </w:p>
        </w:tc>
        <w:tc>
          <w:tcPr>
            <w:tcW w:w="2949" w:type="dxa"/>
            <w:tcBorders>
              <w:tl2br w:val="nil"/>
              <w:tr2bl w:val="nil"/>
            </w:tcBorders>
          </w:tcPr>
          <w:p>
            <w:pPr>
              <w:jc w:val="left"/>
              <w:rPr>
                <w:rFonts w:ascii="仿宋_GB2312" w:hAnsi="仿宋_GB2312" w:eastAsia="仿宋_GB2312" w:cs="仿宋_GB2312"/>
              </w:rPr>
            </w:pPr>
            <w:r>
              <w:rPr>
                <w:rFonts w:hint="eastAsia" w:ascii="仿宋_GB2312" w:hAnsi="仿宋_GB2312" w:eastAsia="仿宋_GB2312" w:cs="仿宋_GB2312"/>
              </w:rPr>
              <w:t xml:space="preserve">  其中：就业人数</w:t>
            </w:r>
          </w:p>
        </w:tc>
        <w:tc>
          <w:tcPr>
            <w:tcW w:w="805" w:type="dxa"/>
            <w:tcBorders>
              <w:tl2br w:val="nil"/>
              <w:tr2bl w:val="nil"/>
            </w:tcBorders>
          </w:tcPr>
          <w:p>
            <w:pPr>
              <w:jc w:val="center"/>
              <w:rPr>
                <w:rFonts w:ascii="仿宋_GB2312" w:hAnsi="仿宋_GB2312" w:eastAsia="仿宋_GB2312" w:cs="仿宋_GB2312"/>
              </w:rPr>
            </w:pPr>
            <w:r>
              <w:rPr>
                <w:rFonts w:hint="eastAsia" w:ascii="仿宋_GB2312" w:hAnsi="仿宋_GB2312" w:eastAsia="仿宋_GB2312" w:cs="仿宋_GB2312"/>
              </w:rPr>
              <w:t>人</w:t>
            </w:r>
          </w:p>
        </w:tc>
        <w:tc>
          <w:tcPr>
            <w:tcW w:w="914"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1127</w:t>
            </w:r>
          </w:p>
        </w:tc>
        <w:tc>
          <w:tcPr>
            <w:tcW w:w="965"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926</w:t>
            </w:r>
          </w:p>
        </w:tc>
        <w:tc>
          <w:tcPr>
            <w:tcW w:w="950"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-17.83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42" w:type="dxa"/>
            <w:vMerge w:val="continue"/>
            <w:tcBorders>
              <w:tl2br w:val="nil"/>
              <w:tr2bl w:val="nil"/>
            </w:tcBorders>
          </w:tcPr>
          <w:p>
            <w:pPr>
              <w:overflowPunct w:val="0"/>
              <w:jc w:val="left"/>
              <w:rPr>
                <w:rFonts w:ascii="仿宋_GB2312" w:hAnsi="仿宋_GB2312" w:eastAsia="仿宋_GB2312" w:cs="仿宋_GB2312"/>
                <w:b/>
              </w:rPr>
            </w:pPr>
          </w:p>
        </w:tc>
        <w:tc>
          <w:tcPr>
            <w:tcW w:w="713" w:type="dxa"/>
            <w:vMerge w:val="continue"/>
            <w:tcBorders>
              <w:tl2br w:val="nil"/>
              <w:tr2bl w:val="nil"/>
            </w:tcBorders>
          </w:tcPr>
          <w:p>
            <w:pPr>
              <w:overflowPunct w:val="0"/>
              <w:jc w:val="left"/>
              <w:rPr>
                <w:rFonts w:ascii="仿宋_GB2312" w:hAnsi="仿宋_GB2312" w:eastAsia="仿宋_GB2312" w:cs="仿宋_GB2312"/>
                <w:b/>
              </w:rPr>
            </w:pPr>
          </w:p>
        </w:tc>
        <w:tc>
          <w:tcPr>
            <w:tcW w:w="462" w:type="dxa"/>
            <w:vMerge w:val="continue"/>
            <w:tcBorders>
              <w:tl2br w:val="nil"/>
              <w:tr2bl w:val="nil"/>
            </w:tcBorders>
          </w:tcPr>
          <w:p>
            <w:pPr>
              <w:overflowPunct w:val="0"/>
              <w:jc w:val="left"/>
              <w:rPr>
                <w:rFonts w:ascii="仿宋_GB2312" w:hAnsi="仿宋_GB2312" w:eastAsia="仿宋_GB2312" w:cs="仿宋_GB2312"/>
                <w:b/>
              </w:rPr>
            </w:pPr>
          </w:p>
        </w:tc>
        <w:tc>
          <w:tcPr>
            <w:tcW w:w="2949" w:type="dxa"/>
            <w:tcBorders>
              <w:tl2br w:val="nil"/>
              <w:tr2bl w:val="nil"/>
            </w:tcBorders>
          </w:tcPr>
          <w:p>
            <w:pPr>
              <w:jc w:val="left"/>
              <w:rPr>
                <w:rFonts w:ascii="仿宋_GB2312" w:hAnsi="仿宋_GB2312" w:eastAsia="仿宋_GB2312" w:cs="仿宋_GB2312"/>
              </w:rPr>
            </w:pPr>
            <w:r>
              <w:rPr>
                <w:rFonts w:hint="eastAsia" w:ascii="仿宋_GB2312" w:hAnsi="仿宋_GB2312" w:eastAsia="仿宋_GB2312" w:cs="仿宋_GB2312"/>
              </w:rPr>
              <w:t>毕业生就业去向：</w:t>
            </w:r>
          </w:p>
        </w:tc>
        <w:tc>
          <w:tcPr>
            <w:tcW w:w="805" w:type="dxa"/>
            <w:tcBorders>
              <w:tl2br w:val="nil"/>
              <w:tr2bl w:val="nil"/>
            </w:tcBorders>
          </w:tcPr>
          <w:p>
            <w:pPr>
              <w:jc w:val="center"/>
              <w:rPr>
                <w:rFonts w:ascii="仿宋_GB2312" w:hAnsi="仿宋_GB2312" w:eastAsia="仿宋_GB2312" w:cs="仿宋_GB2312"/>
              </w:rPr>
            </w:pPr>
            <w:r>
              <w:rPr>
                <w:rFonts w:hint="eastAsia" w:ascii="仿宋_GB2312" w:hAnsi="仿宋_GB2312" w:eastAsia="仿宋_GB2312" w:cs="仿宋_GB2312"/>
              </w:rPr>
              <w:t>---</w:t>
            </w:r>
          </w:p>
        </w:tc>
        <w:tc>
          <w:tcPr>
            <w:tcW w:w="914"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w:t>
            </w:r>
          </w:p>
        </w:tc>
        <w:tc>
          <w:tcPr>
            <w:tcW w:w="965"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w:t>
            </w:r>
          </w:p>
        </w:tc>
        <w:tc>
          <w:tcPr>
            <w:tcW w:w="950"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42" w:type="dxa"/>
            <w:vMerge w:val="continue"/>
            <w:tcBorders>
              <w:tl2br w:val="nil"/>
              <w:tr2bl w:val="nil"/>
            </w:tcBorders>
          </w:tcPr>
          <w:p>
            <w:pPr>
              <w:overflowPunct w:val="0"/>
              <w:jc w:val="left"/>
              <w:rPr>
                <w:rFonts w:ascii="仿宋_GB2312" w:hAnsi="仿宋_GB2312" w:eastAsia="仿宋_GB2312" w:cs="仿宋_GB2312"/>
                <w:b/>
              </w:rPr>
            </w:pPr>
          </w:p>
        </w:tc>
        <w:tc>
          <w:tcPr>
            <w:tcW w:w="713" w:type="dxa"/>
            <w:vMerge w:val="continue"/>
            <w:tcBorders>
              <w:tl2br w:val="nil"/>
              <w:tr2bl w:val="nil"/>
            </w:tcBorders>
          </w:tcPr>
          <w:p>
            <w:pPr>
              <w:overflowPunct w:val="0"/>
              <w:jc w:val="left"/>
              <w:rPr>
                <w:rFonts w:ascii="仿宋_GB2312" w:hAnsi="仿宋_GB2312" w:eastAsia="仿宋_GB2312" w:cs="仿宋_GB2312"/>
                <w:b/>
              </w:rPr>
            </w:pPr>
          </w:p>
        </w:tc>
        <w:tc>
          <w:tcPr>
            <w:tcW w:w="462" w:type="dxa"/>
            <w:vMerge w:val="continue"/>
            <w:tcBorders>
              <w:tl2br w:val="nil"/>
              <w:tr2bl w:val="nil"/>
            </w:tcBorders>
          </w:tcPr>
          <w:p>
            <w:pPr>
              <w:overflowPunct w:val="0"/>
              <w:jc w:val="left"/>
              <w:rPr>
                <w:rFonts w:ascii="仿宋_GB2312" w:hAnsi="仿宋_GB2312" w:eastAsia="仿宋_GB2312" w:cs="仿宋_GB2312"/>
                <w:b/>
              </w:rPr>
            </w:pPr>
          </w:p>
        </w:tc>
        <w:tc>
          <w:tcPr>
            <w:tcW w:w="2949" w:type="dxa"/>
            <w:tcBorders>
              <w:tl2br w:val="nil"/>
              <w:tr2bl w:val="nil"/>
            </w:tcBorders>
          </w:tcPr>
          <w:p>
            <w:pPr>
              <w:jc w:val="left"/>
              <w:rPr>
                <w:rFonts w:ascii="仿宋_GB2312" w:hAnsi="仿宋_GB2312" w:eastAsia="仿宋_GB2312" w:cs="仿宋_GB2312"/>
              </w:rPr>
            </w:pPr>
            <w:r>
              <w:rPr>
                <w:rFonts w:hint="eastAsia" w:ascii="仿宋_GB2312" w:hAnsi="仿宋_GB2312" w:eastAsia="仿宋_GB2312" w:cs="仿宋_GB2312"/>
              </w:rPr>
              <w:t xml:space="preserve">  A类：留在当地就业人数</w:t>
            </w:r>
          </w:p>
        </w:tc>
        <w:tc>
          <w:tcPr>
            <w:tcW w:w="805" w:type="dxa"/>
            <w:tcBorders>
              <w:tl2br w:val="nil"/>
              <w:tr2bl w:val="nil"/>
            </w:tcBorders>
          </w:tcPr>
          <w:p>
            <w:pPr>
              <w:jc w:val="center"/>
              <w:rPr>
                <w:rFonts w:ascii="仿宋_GB2312" w:hAnsi="仿宋_GB2312" w:eastAsia="仿宋_GB2312" w:cs="仿宋_GB2312"/>
              </w:rPr>
            </w:pPr>
            <w:r>
              <w:rPr>
                <w:rFonts w:hint="eastAsia" w:ascii="仿宋_GB2312" w:hAnsi="仿宋_GB2312" w:eastAsia="仿宋_GB2312" w:cs="仿宋_GB2312"/>
              </w:rPr>
              <w:t>人</w:t>
            </w:r>
          </w:p>
        </w:tc>
        <w:tc>
          <w:tcPr>
            <w:tcW w:w="914"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372</w:t>
            </w:r>
          </w:p>
        </w:tc>
        <w:tc>
          <w:tcPr>
            <w:tcW w:w="965"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543</w:t>
            </w:r>
          </w:p>
        </w:tc>
        <w:tc>
          <w:tcPr>
            <w:tcW w:w="950"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45.97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42" w:type="dxa"/>
            <w:vMerge w:val="continue"/>
            <w:tcBorders>
              <w:tl2br w:val="nil"/>
              <w:tr2bl w:val="nil"/>
            </w:tcBorders>
          </w:tcPr>
          <w:p>
            <w:pPr>
              <w:overflowPunct w:val="0"/>
              <w:jc w:val="left"/>
              <w:rPr>
                <w:rFonts w:ascii="仿宋_GB2312" w:hAnsi="仿宋_GB2312" w:eastAsia="仿宋_GB2312" w:cs="仿宋_GB2312"/>
                <w:b/>
              </w:rPr>
            </w:pPr>
          </w:p>
        </w:tc>
        <w:tc>
          <w:tcPr>
            <w:tcW w:w="713" w:type="dxa"/>
            <w:vMerge w:val="continue"/>
            <w:tcBorders>
              <w:tl2br w:val="nil"/>
              <w:tr2bl w:val="nil"/>
            </w:tcBorders>
          </w:tcPr>
          <w:p>
            <w:pPr>
              <w:overflowPunct w:val="0"/>
              <w:jc w:val="left"/>
              <w:rPr>
                <w:rFonts w:ascii="仿宋_GB2312" w:hAnsi="仿宋_GB2312" w:eastAsia="仿宋_GB2312" w:cs="仿宋_GB2312"/>
                <w:b/>
              </w:rPr>
            </w:pPr>
          </w:p>
        </w:tc>
        <w:tc>
          <w:tcPr>
            <w:tcW w:w="462" w:type="dxa"/>
            <w:vMerge w:val="continue"/>
            <w:tcBorders>
              <w:tl2br w:val="nil"/>
              <w:tr2bl w:val="nil"/>
            </w:tcBorders>
          </w:tcPr>
          <w:p>
            <w:pPr>
              <w:overflowPunct w:val="0"/>
              <w:jc w:val="left"/>
              <w:rPr>
                <w:rFonts w:ascii="仿宋_GB2312" w:hAnsi="仿宋_GB2312" w:eastAsia="仿宋_GB2312" w:cs="仿宋_GB2312"/>
                <w:b/>
              </w:rPr>
            </w:pPr>
          </w:p>
        </w:tc>
        <w:tc>
          <w:tcPr>
            <w:tcW w:w="2949" w:type="dxa"/>
            <w:tcBorders>
              <w:tl2br w:val="nil"/>
              <w:tr2bl w:val="nil"/>
            </w:tcBorders>
          </w:tcPr>
          <w:p>
            <w:pPr>
              <w:jc w:val="left"/>
              <w:rPr>
                <w:rFonts w:ascii="仿宋_GB2312" w:hAnsi="仿宋_GB2312" w:eastAsia="仿宋_GB2312" w:cs="仿宋_GB2312"/>
              </w:rPr>
            </w:pPr>
            <w:r>
              <w:rPr>
                <w:rFonts w:hint="eastAsia" w:ascii="仿宋_GB2312" w:hAnsi="仿宋_GB2312" w:eastAsia="仿宋_GB2312" w:cs="仿宋_GB2312"/>
              </w:rPr>
              <w:t xml:space="preserve">  B类：到中小微企业等基层服务人数</w:t>
            </w:r>
          </w:p>
        </w:tc>
        <w:tc>
          <w:tcPr>
            <w:tcW w:w="805" w:type="dxa"/>
            <w:tcBorders>
              <w:tl2br w:val="nil"/>
              <w:tr2bl w:val="nil"/>
            </w:tcBorders>
          </w:tcPr>
          <w:p>
            <w:pPr>
              <w:jc w:val="center"/>
              <w:rPr>
                <w:rFonts w:ascii="仿宋_GB2312" w:hAnsi="仿宋_GB2312" w:eastAsia="仿宋_GB2312" w:cs="仿宋_GB2312"/>
              </w:rPr>
            </w:pPr>
            <w:r>
              <w:rPr>
                <w:rFonts w:hint="eastAsia" w:ascii="仿宋_GB2312" w:hAnsi="仿宋_GB2312" w:eastAsia="仿宋_GB2312" w:cs="仿宋_GB2312"/>
              </w:rPr>
              <w:t>人</w:t>
            </w:r>
          </w:p>
        </w:tc>
        <w:tc>
          <w:tcPr>
            <w:tcW w:w="914"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642</w:t>
            </w:r>
          </w:p>
        </w:tc>
        <w:tc>
          <w:tcPr>
            <w:tcW w:w="965"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748</w:t>
            </w:r>
          </w:p>
        </w:tc>
        <w:tc>
          <w:tcPr>
            <w:tcW w:w="950"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16.51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42" w:type="dxa"/>
            <w:vMerge w:val="continue"/>
            <w:tcBorders>
              <w:tl2br w:val="nil"/>
              <w:tr2bl w:val="nil"/>
            </w:tcBorders>
          </w:tcPr>
          <w:p>
            <w:pPr>
              <w:overflowPunct w:val="0"/>
              <w:jc w:val="left"/>
              <w:rPr>
                <w:rFonts w:ascii="仿宋_GB2312" w:hAnsi="仿宋_GB2312" w:eastAsia="仿宋_GB2312" w:cs="仿宋_GB2312"/>
                <w:b/>
              </w:rPr>
            </w:pPr>
          </w:p>
        </w:tc>
        <w:tc>
          <w:tcPr>
            <w:tcW w:w="713" w:type="dxa"/>
            <w:vMerge w:val="continue"/>
            <w:tcBorders>
              <w:tl2br w:val="nil"/>
              <w:tr2bl w:val="nil"/>
            </w:tcBorders>
          </w:tcPr>
          <w:p>
            <w:pPr>
              <w:overflowPunct w:val="0"/>
              <w:jc w:val="left"/>
              <w:rPr>
                <w:rFonts w:ascii="仿宋_GB2312" w:hAnsi="仿宋_GB2312" w:eastAsia="仿宋_GB2312" w:cs="仿宋_GB2312"/>
                <w:b/>
              </w:rPr>
            </w:pPr>
          </w:p>
        </w:tc>
        <w:tc>
          <w:tcPr>
            <w:tcW w:w="462" w:type="dxa"/>
            <w:vMerge w:val="continue"/>
            <w:tcBorders>
              <w:tl2br w:val="nil"/>
              <w:tr2bl w:val="nil"/>
            </w:tcBorders>
          </w:tcPr>
          <w:p>
            <w:pPr>
              <w:overflowPunct w:val="0"/>
              <w:jc w:val="left"/>
              <w:rPr>
                <w:rFonts w:ascii="仿宋_GB2312" w:hAnsi="仿宋_GB2312" w:eastAsia="仿宋_GB2312" w:cs="仿宋_GB2312"/>
                <w:b/>
              </w:rPr>
            </w:pPr>
          </w:p>
        </w:tc>
        <w:tc>
          <w:tcPr>
            <w:tcW w:w="2949" w:type="dxa"/>
            <w:tcBorders>
              <w:tl2br w:val="nil"/>
              <w:tr2bl w:val="nil"/>
            </w:tcBorders>
          </w:tcPr>
          <w:p>
            <w:pPr>
              <w:jc w:val="left"/>
              <w:rPr>
                <w:rFonts w:ascii="仿宋_GB2312" w:hAnsi="仿宋_GB2312" w:eastAsia="仿宋_GB2312" w:cs="仿宋_GB2312"/>
              </w:rPr>
            </w:pPr>
            <w:r>
              <w:rPr>
                <w:rFonts w:hint="eastAsia" w:ascii="仿宋_GB2312" w:hAnsi="仿宋_GB2312" w:eastAsia="仿宋_GB2312" w:cs="仿宋_GB2312"/>
              </w:rPr>
              <w:t xml:space="preserve">  C类：到500强企业就业人数</w:t>
            </w:r>
          </w:p>
        </w:tc>
        <w:tc>
          <w:tcPr>
            <w:tcW w:w="805" w:type="dxa"/>
            <w:tcBorders>
              <w:tl2br w:val="nil"/>
              <w:tr2bl w:val="nil"/>
            </w:tcBorders>
          </w:tcPr>
          <w:p>
            <w:pPr>
              <w:jc w:val="center"/>
              <w:rPr>
                <w:rFonts w:ascii="仿宋_GB2312" w:hAnsi="仿宋_GB2312" w:eastAsia="仿宋_GB2312" w:cs="仿宋_GB2312"/>
              </w:rPr>
            </w:pPr>
            <w:r>
              <w:rPr>
                <w:rFonts w:hint="eastAsia" w:ascii="仿宋_GB2312" w:hAnsi="仿宋_GB2312" w:eastAsia="仿宋_GB2312" w:cs="仿宋_GB2312"/>
              </w:rPr>
              <w:t>人</w:t>
            </w:r>
          </w:p>
        </w:tc>
        <w:tc>
          <w:tcPr>
            <w:tcW w:w="914"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79</w:t>
            </w:r>
          </w:p>
        </w:tc>
        <w:tc>
          <w:tcPr>
            <w:tcW w:w="965"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60</w:t>
            </w:r>
          </w:p>
        </w:tc>
        <w:tc>
          <w:tcPr>
            <w:tcW w:w="950"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-24.05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42" w:type="dxa"/>
            <w:vMerge w:val="continue"/>
            <w:tcBorders>
              <w:tl2br w:val="nil"/>
              <w:tr2bl w:val="nil"/>
            </w:tcBorders>
          </w:tcPr>
          <w:p>
            <w:pPr>
              <w:overflowPunct w:val="0"/>
              <w:jc w:val="left"/>
              <w:rPr>
                <w:rFonts w:ascii="仿宋_GB2312" w:hAnsi="仿宋_GB2312" w:eastAsia="仿宋_GB2312" w:cs="仿宋_GB2312"/>
                <w:b/>
              </w:rPr>
            </w:pPr>
          </w:p>
        </w:tc>
        <w:tc>
          <w:tcPr>
            <w:tcW w:w="713" w:type="dxa"/>
            <w:vMerge w:val="continue"/>
            <w:tcBorders>
              <w:tl2br w:val="nil"/>
              <w:tr2bl w:val="nil"/>
            </w:tcBorders>
          </w:tcPr>
          <w:p>
            <w:pPr>
              <w:overflowPunct w:val="0"/>
              <w:jc w:val="left"/>
              <w:rPr>
                <w:rFonts w:ascii="仿宋_GB2312" w:hAnsi="仿宋_GB2312" w:eastAsia="仿宋_GB2312" w:cs="仿宋_GB2312"/>
                <w:b/>
              </w:rPr>
            </w:pPr>
          </w:p>
        </w:tc>
        <w:tc>
          <w:tcPr>
            <w:tcW w:w="462" w:type="dxa"/>
            <w:tcBorders>
              <w:tl2br w:val="nil"/>
              <w:tr2bl w:val="nil"/>
            </w:tcBorders>
          </w:tcPr>
          <w:p>
            <w:pPr>
              <w:jc w:val="center"/>
              <w:rPr>
                <w:rFonts w:ascii="仿宋_GB2312" w:hAnsi="仿宋_GB2312" w:eastAsia="仿宋_GB2312" w:cs="仿宋_GB2312"/>
              </w:rPr>
            </w:pPr>
            <w:r>
              <w:rPr>
                <w:rFonts w:hint="eastAsia" w:ascii="仿宋_GB2312" w:hAnsi="仿宋_GB2312" w:eastAsia="仿宋_GB2312" w:cs="仿宋_GB2312"/>
              </w:rPr>
              <w:t>2</w:t>
            </w:r>
          </w:p>
        </w:tc>
        <w:tc>
          <w:tcPr>
            <w:tcW w:w="2949" w:type="dxa"/>
            <w:tcBorders>
              <w:tl2br w:val="nil"/>
              <w:tr2bl w:val="nil"/>
            </w:tcBorders>
          </w:tcPr>
          <w:p>
            <w:pPr>
              <w:jc w:val="left"/>
              <w:rPr>
                <w:rFonts w:ascii="仿宋_GB2312" w:hAnsi="仿宋_GB2312" w:eastAsia="仿宋_GB2312" w:cs="仿宋_GB2312"/>
              </w:rPr>
            </w:pPr>
            <w:r>
              <w:rPr>
                <w:rFonts w:hint="eastAsia" w:ascii="仿宋_GB2312" w:hAnsi="仿宋_GB2312" w:eastAsia="仿宋_GB2312" w:cs="仿宋_GB2312"/>
              </w:rPr>
              <w:t>横向技术服务到款额</w:t>
            </w:r>
          </w:p>
        </w:tc>
        <w:tc>
          <w:tcPr>
            <w:tcW w:w="805" w:type="dxa"/>
            <w:tcBorders>
              <w:tl2br w:val="nil"/>
              <w:tr2bl w:val="nil"/>
            </w:tcBorders>
          </w:tcPr>
          <w:p>
            <w:pPr>
              <w:jc w:val="center"/>
              <w:rPr>
                <w:rFonts w:ascii="仿宋_GB2312" w:hAnsi="仿宋_GB2312" w:eastAsia="仿宋_GB2312" w:cs="仿宋_GB2312"/>
              </w:rPr>
            </w:pPr>
            <w:r>
              <w:rPr>
                <w:rFonts w:hint="eastAsia" w:ascii="仿宋_GB2312" w:hAnsi="仿宋_GB2312" w:eastAsia="仿宋_GB2312" w:cs="仿宋_GB2312"/>
              </w:rPr>
              <w:t>万元</w:t>
            </w:r>
          </w:p>
        </w:tc>
        <w:tc>
          <w:tcPr>
            <w:tcW w:w="914"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20</w:t>
            </w:r>
          </w:p>
        </w:tc>
        <w:tc>
          <w:tcPr>
            <w:tcW w:w="965"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w:t>
            </w:r>
          </w:p>
        </w:tc>
        <w:tc>
          <w:tcPr>
            <w:tcW w:w="950"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42" w:type="dxa"/>
            <w:vMerge w:val="continue"/>
            <w:tcBorders>
              <w:tl2br w:val="nil"/>
              <w:tr2bl w:val="nil"/>
            </w:tcBorders>
          </w:tcPr>
          <w:p>
            <w:pPr>
              <w:overflowPunct w:val="0"/>
              <w:jc w:val="left"/>
              <w:rPr>
                <w:rFonts w:ascii="仿宋_GB2312" w:hAnsi="仿宋_GB2312" w:eastAsia="仿宋_GB2312" w:cs="仿宋_GB2312"/>
                <w:b/>
              </w:rPr>
            </w:pPr>
          </w:p>
        </w:tc>
        <w:tc>
          <w:tcPr>
            <w:tcW w:w="713" w:type="dxa"/>
            <w:vMerge w:val="continue"/>
            <w:tcBorders>
              <w:tl2br w:val="nil"/>
              <w:tr2bl w:val="nil"/>
            </w:tcBorders>
          </w:tcPr>
          <w:p>
            <w:pPr>
              <w:overflowPunct w:val="0"/>
              <w:jc w:val="left"/>
              <w:rPr>
                <w:rFonts w:ascii="仿宋_GB2312" w:hAnsi="仿宋_GB2312" w:eastAsia="仿宋_GB2312" w:cs="仿宋_GB2312"/>
                <w:b/>
              </w:rPr>
            </w:pPr>
          </w:p>
        </w:tc>
        <w:tc>
          <w:tcPr>
            <w:tcW w:w="462" w:type="dxa"/>
            <w:tcBorders>
              <w:tl2br w:val="nil"/>
              <w:tr2bl w:val="nil"/>
            </w:tcBorders>
          </w:tcPr>
          <w:p>
            <w:pPr>
              <w:jc w:val="center"/>
              <w:rPr>
                <w:rFonts w:ascii="仿宋_GB2312" w:hAnsi="仿宋_GB2312" w:eastAsia="仿宋_GB2312" w:cs="仿宋_GB2312"/>
              </w:rPr>
            </w:pPr>
            <w:r>
              <w:rPr>
                <w:rFonts w:hint="eastAsia" w:ascii="仿宋_GB2312" w:hAnsi="仿宋_GB2312" w:eastAsia="仿宋_GB2312" w:cs="仿宋_GB2312"/>
              </w:rPr>
              <w:t>3</w:t>
            </w:r>
          </w:p>
        </w:tc>
        <w:tc>
          <w:tcPr>
            <w:tcW w:w="2949" w:type="dxa"/>
            <w:tcBorders>
              <w:tl2br w:val="nil"/>
              <w:tr2bl w:val="nil"/>
            </w:tcBorders>
          </w:tcPr>
          <w:p>
            <w:pPr>
              <w:jc w:val="left"/>
              <w:rPr>
                <w:rFonts w:ascii="仿宋_GB2312" w:hAnsi="仿宋_GB2312" w:eastAsia="仿宋_GB2312" w:cs="仿宋_GB2312"/>
              </w:rPr>
            </w:pPr>
            <w:r>
              <w:rPr>
                <w:rFonts w:hint="eastAsia" w:ascii="仿宋_GB2312" w:hAnsi="仿宋_GB2312" w:eastAsia="仿宋_GB2312" w:cs="仿宋_GB2312"/>
              </w:rPr>
              <w:t>纵向科研经费到款额</w:t>
            </w:r>
          </w:p>
        </w:tc>
        <w:tc>
          <w:tcPr>
            <w:tcW w:w="805" w:type="dxa"/>
            <w:tcBorders>
              <w:tl2br w:val="nil"/>
              <w:tr2bl w:val="nil"/>
            </w:tcBorders>
          </w:tcPr>
          <w:p>
            <w:pPr>
              <w:jc w:val="center"/>
              <w:rPr>
                <w:rFonts w:ascii="仿宋_GB2312" w:hAnsi="仿宋_GB2312" w:eastAsia="仿宋_GB2312" w:cs="仿宋_GB2312"/>
              </w:rPr>
            </w:pPr>
            <w:r>
              <w:rPr>
                <w:rFonts w:hint="eastAsia" w:ascii="仿宋_GB2312" w:hAnsi="仿宋_GB2312" w:eastAsia="仿宋_GB2312" w:cs="仿宋_GB2312"/>
              </w:rPr>
              <w:t>万元</w:t>
            </w:r>
          </w:p>
        </w:tc>
        <w:tc>
          <w:tcPr>
            <w:tcW w:w="914"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34.5</w:t>
            </w:r>
          </w:p>
        </w:tc>
        <w:tc>
          <w:tcPr>
            <w:tcW w:w="965"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20.5</w:t>
            </w:r>
          </w:p>
        </w:tc>
        <w:tc>
          <w:tcPr>
            <w:tcW w:w="950"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-40.58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42" w:type="dxa"/>
            <w:vMerge w:val="continue"/>
            <w:tcBorders>
              <w:tl2br w:val="nil"/>
              <w:tr2bl w:val="nil"/>
            </w:tcBorders>
          </w:tcPr>
          <w:p>
            <w:pPr>
              <w:overflowPunct w:val="0"/>
              <w:jc w:val="left"/>
              <w:rPr>
                <w:rFonts w:ascii="仿宋_GB2312" w:hAnsi="仿宋_GB2312" w:eastAsia="仿宋_GB2312" w:cs="仿宋_GB2312"/>
                <w:b/>
              </w:rPr>
            </w:pPr>
          </w:p>
        </w:tc>
        <w:tc>
          <w:tcPr>
            <w:tcW w:w="713" w:type="dxa"/>
            <w:vMerge w:val="continue"/>
            <w:tcBorders>
              <w:tl2br w:val="nil"/>
              <w:tr2bl w:val="nil"/>
            </w:tcBorders>
          </w:tcPr>
          <w:p>
            <w:pPr>
              <w:overflowPunct w:val="0"/>
              <w:jc w:val="left"/>
              <w:rPr>
                <w:rFonts w:ascii="仿宋_GB2312" w:hAnsi="仿宋_GB2312" w:eastAsia="仿宋_GB2312" w:cs="仿宋_GB2312"/>
                <w:b/>
              </w:rPr>
            </w:pPr>
          </w:p>
        </w:tc>
        <w:tc>
          <w:tcPr>
            <w:tcW w:w="462" w:type="dxa"/>
            <w:tcBorders>
              <w:tl2br w:val="nil"/>
              <w:tr2bl w:val="nil"/>
            </w:tcBorders>
          </w:tcPr>
          <w:p>
            <w:pPr>
              <w:jc w:val="center"/>
              <w:rPr>
                <w:rFonts w:ascii="仿宋_GB2312" w:hAnsi="仿宋_GB2312" w:eastAsia="仿宋_GB2312" w:cs="仿宋_GB2312"/>
              </w:rPr>
            </w:pPr>
            <w:r>
              <w:rPr>
                <w:rFonts w:hint="eastAsia" w:ascii="仿宋_GB2312" w:hAnsi="仿宋_GB2312" w:eastAsia="仿宋_GB2312" w:cs="仿宋_GB2312"/>
              </w:rPr>
              <w:t>4</w:t>
            </w:r>
          </w:p>
        </w:tc>
        <w:tc>
          <w:tcPr>
            <w:tcW w:w="2949" w:type="dxa"/>
            <w:tcBorders>
              <w:tl2br w:val="nil"/>
              <w:tr2bl w:val="nil"/>
            </w:tcBorders>
          </w:tcPr>
          <w:p>
            <w:pPr>
              <w:jc w:val="left"/>
              <w:rPr>
                <w:rFonts w:ascii="仿宋_GB2312" w:hAnsi="仿宋_GB2312" w:eastAsia="仿宋_GB2312" w:cs="仿宋_GB2312"/>
              </w:rPr>
            </w:pPr>
            <w:r>
              <w:rPr>
                <w:rFonts w:hint="eastAsia" w:ascii="仿宋_GB2312" w:hAnsi="仿宋_GB2312" w:eastAsia="仿宋_GB2312" w:cs="仿宋_GB2312"/>
              </w:rPr>
              <w:t>技术交易到款额</w:t>
            </w:r>
          </w:p>
        </w:tc>
        <w:tc>
          <w:tcPr>
            <w:tcW w:w="805" w:type="dxa"/>
            <w:tcBorders>
              <w:tl2br w:val="nil"/>
              <w:tr2bl w:val="nil"/>
            </w:tcBorders>
          </w:tcPr>
          <w:p>
            <w:pPr>
              <w:jc w:val="center"/>
              <w:rPr>
                <w:rFonts w:ascii="仿宋_GB2312" w:hAnsi="仿宋_GB2312" w:eastAsia="仿宋_GB2312" w:cs="仿宋_GB2312"/>
              </w:rPr>
            </w:pPr>
            <w:r>
              <w:rPr>
                <w:rFonts w:hint="eastAsia" w:ascii="仿宋_GB2312" w:hAnsi="仿宋_GB2312" w:eastAsia="仿宋_GB2312" w:cs="仿宋_GB2312"/>
              </w:rPr>
              <w:t>万元</w:t>
            </w:r>
          </w:p>
        </w:tc>
        <w:tc>
          <w:tcPr>
            <w:tcW w:w="914"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w:t>
            </w:r>
          </w:p>
        </w:tc>
        <w:tc>
          <w:tcPr>
            <w:tcW w:w="965"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w:t>
            </w:r>
          </w:p>
        </w:tc>
        <w:tc>
          <w:tcPr>
            <w:tcW w:w="950"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42" w:type="dxa"/>
            <w:vMerge w:val="continue"/>
            <w:tcBorders>
              <w:tl2br w:val="nil"/>
              <w:tr2bl w:val="nil"/>
            </w:tcBorders>
          </w:tcPr>
          <w:p>
            <w:pPr>
              <w:overflowPunct w:val="0"/>
              <w:jc w:val="left"/>
              <w:rPr>
                <w:rFonts w:ascii="仿宋_GB2312" w:hAnsi="仿宋_GB2312" w:eastAsia="仿宋_GB2312" w:cs="仿宋_GB2312"/>
                <w:b/>
              </w:rPr>
            </w:pPr>
          </w:p>
        </w:tc>
        <w:tc>
          <w:tcPr>
            <w:tcW w:w="713" w:type="dxa"/>
            <w:vMerge w:val="continue"/>
            <w:tcBorders>
              <w:tl2br w:val="nil"/>
              <w:tr2bl w:val="nil"/>
            </w:tcBorders>
          </w:tcPr>
          <w:p>
            <w:pPr>
              <w:overflowPunct w:val="0"/>
              <w:jc w:val="left"/>
              <w:rPr>
                <w:rFonts w:ascii="仿宋_GB2312" w:hAnsi="仿宋_GB2312" w:eastAsia="仿宋_GB2312" w:cs="仿宋_GB2312"/>
                <w:b/>
              </w:rPr>
            </w:pPr>
          </w:p>
        </w:tc>
        <w:tc>
          <w:tcPr>
            <w:tcW w:w="462" w:type="dxa"/>
            <w:tcBorders>
              <w:tl2br w:val="nil"/>
              <w:tr2bl w:val="nil"/>
            </w:tcBorders>
          </w:tcPr>
          <w:p>
            <w:pPr>
              <w:jc w:val="center"/>
              <w:rPr>
                <w:rFonts w:ascii="仿宋_GB2312" w:hAnsi="仿宋_GB2312" w:eastAsia="仿宋_GB2312" w:cs="仿宋_GB2312"/>
              </w:rPr>
            </w:pPr>
            <w:r>
              <w:rPr>
                <w:rFonts w:hint="eastAsia" w:ascii="仿宋_GB2312" w:hAnsi="仿宋_GB2312" w:eastAsia="仿宋_GB2312" w:cs="仿宋_GB2312"/>
              </w:rPr>
              <w:t>5</w:t>
            </w:r>
          </w:p>
        </w:tc>
        <w:tc>
          <w:tcPr>
            <w:tcW w:w="2949" w:type="dxa"/>
            <w:tcBorders>
              <w:tl2br w:val="nil"/>
              <w:tr2bl w:val="nil"/>
            </w:tcBorders>
          </w:tcPr>
          <w:p>
            <w:pPr>
              <w:jc w:val="left"/>
              <w:rPr>
                <w:rFonts w:ascii="仿宋_GB2312" w:hAnsi="仿宋_GB2312" w:eastAsia="仿宋_GB2312" w:cs="仿宋_GB2312"/>
              </w:rPr>
            </w:pPr>
            <w:r>
              <w:rPr>
                <w:rFonts w:hint="eastAsia" w:ascii="仿宋_GB2312" w:hAnsi="仿宋_GB2312" w:eastAsia="仿宋_GB2312" w:cs="仿宋_GB2312"/>
              </w:rPr>
              <w:t>非学历培训到款额</w:t>
            </w:r>
          </w:p>
        </w:tc>
        <w:tc>
          <w:tcPr>
            <w:tcW w:w="805" w:type="dxa"/>
            <w:tcBorders>
              <w:tl2br w:val="nil"/>
              <w:tr2bl w:val="nil"/>
            </w:tcBorders>
          </w:tcPr>
          <w:p>
            <w:pPr>
              <w:jc w:val="center"/>
              <w:rPr>
                <w:rFonts w:ascii="仿宋_GB2312" w:hAnsi="仿宋_GB2312" w:eastAsia="仿宋_GB2312" w:cs="仿宋_GB2312"/>
              </w:rPr>
            </w:pPr>
            <w:r>
              <w:rPr>
                <w:rFonts w:hint="eastAsia" w:ascii="仿宋_GB2312" w:hAnsi="仿宋_GB2312" w:eastAsia="仿宋_GB2312" w:cs="仿宋_GB2312"/>
              </w:rPr>
              <w:t>万元</w:t>
            </w:r>
          </w:p>
        </w:tc>
        <w:tc>
          <w:tcPr>
            <w:tcW w:w="914"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175.6</w:t>
            </w:r>
          </w:p>
        </w:tc>
        <w:tc>
          <w:tcPr>
            <w:tcW w:w="965"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211.5</w:t>
            </w:r>
          </w:p>
        </w:tc>
        <w:tc>
          <w:tcPr>
            <w:tcW w:w="950"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20.44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42" w:type="dxa"/>
            <w:vMerge w:val="continue"/>
            <w:tcBorders>
              <w:tl2br w:val="nil"/>
              <w:tr2bl w:val="nil"/>
            </w:tcBorders>
          </w:tcPr>
          <w:p>
            <w:pPr>
              <w:overflowPunct w:val="0"/>
              <w:jc w:val="left"/>
              <w:rPr>
                <w:rFonts w:ascii="仿宋_GB2312" w:hAnsi="仿宋_GB2312" w:eastAsia="仿宋_GB2312" w:cs="仿宋_GB2312"/>
                <w:b/>
              </w:rPr>
            </w:pPr>
          </w:p>
        </w:tc>
        <w:tc>
          <w:tcPr>
            <w:tcW w:w="713" w:type="dxa"/>
            <w:vMerge w:val="continue"/>
            <w:tcBorders>
              <w:tl2br w:val="nil"/>
              <w:tr2bl w:val="nil"/>
            </w:tcBorders>
          </w:tcPr>
          <w:p>
            <w:pPr>
              <w:overflowPunct w:val="0"/>
              <w:jc w:val="left"/>
              <w:rPr>
                <w:rFonts w:ascii="仿宋_GB2312" w:hAnsi="仿宋_GB2312" w:eastAsia="仿宋_GB2312" w:cs="仿宋_GB2312"/>
                <w:b/>
              </w:rPr>
            </w:pPr>
          </w:p>
        </w:tc>
        <w:tc>
          <w:tcPr>
            <w:tcW w:w="462" w:type="dxa"/>
            <w:tcBorders>
              <w:tl2br w:val="nil"/>
              <w:tr2bl w:val="nil"/>
            </w:tcBorders>
          </w:tcPr>
          <w:p>
            <w:pPr>
              <w:jc w:val="center"/>
              <w:rPr>
                <w:rFonts w:ascii="仿宋_GB2312" w:hAnsi="仿宋_GB2312" w:eastAsia="仿宋_GB2312" w:cs="仿宋_GB2312"/>
              </w:rPr>
            </w:pPr>
            <w:r>
              <w:rPr>
                <w:rFonts w:hint="eastAsia" w:ascii="仿宋_GB2312" w:hAnsi="仿宋_GB2312" w:eastAsia="仿宋_GB2312" w:cs="仿宋_GB2312"/>
              </w:rPr>
              <w:t>6</w:t>
            </w:r>
          </w:p>
        </w:tc>
        <w:tc>
          <w:tcPr>
            <w:tcW w:w="2949" w:type="dxa"/>
            <w:tcBorders>
              <w:tl2br w:val="nil"/>
              <w:tr2bl w:val="nil"/>
            </w:tcBorders>
          </w:tcPr>
          <w:p>
            <w:pPr>
              <w:jc w:val="left"/>
              <w:rPr>
                <w:rFonts w:ascii="仿宋_GB2312" w:hAnsi="仿宋_GB2312" w:eastAsia="仿宋_GB2312" w:cs="仿宋_GB2312"/>
              </w:rPr>
            </w:pPr>
            <w:r>
              <w:rPr>
                <w:rFonts w:hint="eastAsia" w:ascii="仿宋_GB2312" w:hAnsi="仿宋_GB2312" w:eastAsia="仿宋_GB2312" w:cs="仿宋_GB2312"/>
              </w:rPr>
              <w:t>公益性培训服务</w:t>
            </w:r>
          </w:p>
        </w:tc>
        <w:tc>
          <w:tcPr>
            <w:tcW w:w="805" w:type="dxa"/>
            <w:tcBorders>
              <w:tl2br w:val="nil"/>
              <w:tr2bl w:val="nil"/>
            </w:tcBorders>
          </w:tcPr>
          <w:p>
            <w:pPr>
              <w:jc w:val="center"/>
              <w:rPr>
                <w:rFonts w:ascii="仿宋_GB2312" w:hAnsi="仿宋_GB2312" w:eastAsia="仿宋_GB2312" w:cs="仿宋_GB2312"/>
              </w:rPr>
            </w:pPr>
            <w:r>
              <w:rPr>
                <w:rFonts w:hint="eastAsia" w:ascii="仿宋_GB2312" w:hAnsi="仿宋_GB2312" w:eastAsia="仿宋_GB2312" w:cs="仿宋_GB2312"/>
              </w:rPr>
              <w:t>人日</w:t>
            </w:r>
          </w:p>
        </w:tc>
        <w:tc>
          <w:tcPr>
            <w:tcW w:w="914"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13920</w:t>
            </w:r>
          </w:p>
        </w:tc>
        <w:tc>
          <w:tcPr>
            <w:tcW w:w="965"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28668</w:t>
            </w:r>
          </w:p>
        </w:tc>
        <w:tc>
          <w:tcPr>
            <w:tcW w:w="950" w:type="dxa"/>
            <w:tcBorders>
              <w:tl2br w:val="nil"/>
              <w:tr2bl w:val="nil"/>
            </w:tcBorders>
            <w:vAlign w:val="center"/>
          </w:tcPr>
          <w:p>
            <w:pPr>
              <w:jc w:val="center"/>
              <w:rPr>
                <w:rFonts w:ascii="Times New Roman" w:hAnsi="Times New Roman" w:eastAsia="仿宋_GB2312"/>
              </w:rPr>
            </w:pPr>
            <w:r>
              <w:rPr>
                <w:rFonts w:hint="eastAsia" w:ascii="Times New Roman" w:hAnsi="Times New Roman" w:eastAsia="仿宋_GB2312"/>
              </w:rPr>
              <w:t>105.95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2" w:type="dxa"/>
            <w:vMerge w:val="continue"/>
            <w:tcBorders>
              <w:tl2br w:val="nil"/>
              <w:tr2bl w:val="nil"/>
            </w:tcBorders>
          </w:tcPr>
          <w:p>
            <w:pPr>
              <w:overflowPunct w:val="0"/>
              <w:jc w:val="left"/>
              <w:rPr>
                <w:rFonts w:ascii="仿宋_GB2312" w:hAnsi="仿宋_GB2312" w:eastAsia="仿宋_GB2312" w:cs="仿宋_GB2312"/>
                <w:b/>
              </w:rPr>
            </w:pPr>
          </w:p>
        </w:tc>
        <w:tc>
          <w:tcPr>
            <w:tcW w:w="713" w:type="dxa"/>
            <w:vMerge w:val="continue"/>
            <w:tcBorders>
              <w:tl2br w:val="nil"/>
              <w:tr2bl w:val="nil"/>
            </w:tcBorders>
          </w:tcPr>
          <w:p>
            <w:pPr>
              <w:overflowPunct w:val="0"/>
              <w:jc w:val="left"/>
              <w:rPr>
                <w:rFonts w:ascii="仿宋_GB2312" w:hAnsi="仿宋_GB2312" w:eastAsia="仿宋_GB2312" w:cs="仿宋_GB2312"/>
                <w:b/>
              </w:rPr>
            </w:pPr>
          </w:p>
        </w:tc>
        <w:tc>
          <w:tcPr>
            <w:tcW w:w="6095" w:type="dxa"/>
            <w:gridSpan w:val="5"/>
            <w:tcBorders>
              <w:tl2br w:val="nil"/>
              <w:tr2bl w:val="nil"/>
            </w:tcBorders>
          </w:tcPr>
          <w:p>
            <w:pPr>
              <w:jc w:val="left"/>
              <w:rPr>
                <w:rFonts w:ascii="仿宋_GB2312" w:hAnsi="仿宋_GB2312" w:eastAsia="仿宋_GB2312" w:cs="仿宋_GB2312"/>
              </w:rPr>
            </w:pPr>
            <w:r>
              <w:rPr>
                <w:rFonts w:hint="eastAsia" w:ascii="仿宋_GB2312" w:hAnsi="仿宋_GB2312" w:eastAsia="仿宋_GB2312" w:cs="仿宋_GB2312"/>
              </w:rPr>
              <w:t xml:space="preserve">主要办学经费来源（单选）：省级（ ）    地市级（ </w:t>
            </w:r>
            <w:r>
              <w:rPr>
                <w:rFonts w:ascii="Arial" w:hAnsi="Arial" w:eastAsia="仿宋_GB2312" w:cs="Arial"/>
              </w:rPr>
              <w:t>√</w:t>
            </w:r>
            <w:r>
              <w:rPr>
                <w:rFonts w:hint="eastAsia" w:ascii="仿宋_GB2312" w:hAnsi="仿宋_GB2312" w:eastAsia="仿宋_GB2312" w:cs="仿宋_GB2312"/>
              </w:rPr>
              <w:t xml:space="preserve">  ）</w:t>
            </w:r>
          </w:p>
          <w:p>
            <w:pPr>
              <w:overflowPunct w:val="0"/>
              <w:jc w:val="left"/>
              <w:rPr>
                <w:rFonts w:ascii="仿宋_GB2312" w:hAnsi="仿宋_GB2312" w:eastAsia="仿宋_GB2312" w:cs="仿宋_GB2312"/>
                <w:b/>
              </w:rPr>
            </w:pPr>
            <w:r>
              <w:rPr>
                <w:rFonts w:hint="eastAsia" w:ascii="仿宋_GB2312" w:hAnsi="仿宋_GB2312" w:eastAsia="仿宋_GB2312" w:cs="仿宋_GB2312"/>
              </w:rPr>
              <w:t xml:space="preserve">                          行业或企业（   ）    其他（   ）</w:t>
            </w:r>
          </w:p>
        </w:tc>
        <w:tc>
          <w:tcPr>
            <w:tcW w:w="950" w:type="dxa"/>
            <w:tcBorders>
              <w:tl2br w:val="nil"/>
              <w:tr2bl w:val="nil"/>
            </w:tcBorders>
          </w:tcPr>
          <w:p>
            <w:pPr>
              <w:overflowPunct w:val="0"/>
              <w:jc w:val="left"/>
              <w:rPr>
                <w:rFonts w:ascii="仿宋_GB2312" w:hAnsi="仿宋_GB2312" w:eastAsia="仿宋_GB2312" w:cs="仿宋_GB2312"/>
              </w:rPr>
            </w:pPr>
          </w:p>
        </w:tc>
      </w:tr>
    </w:tbl>
    <w:p>
      <w:pPr>
        <w:rPr>
          <w:rFonts w:ascii="仿宋_GB2312" w:hAnsi="仿宋_GB2312" w:eastAsia="仿宋_GB2312" w:cs="仿宋_GB2312"/>
          <w:b/>
          <w:bCs/>
          <w:sz w:val="32"/>
          <w:szCs w:val="32"/>
        </w:rPr>
      </w:pPr>
    </w:p>
    <w:p>
      <w:pPr>
        <w:spacing w:line="520" w:lineRule="exact"/>
        <w:rPr>
          <w:rFonts w:ascii="仿宋_GB2312" w:hAnsi="仿宋_GB2312" w:eastAsia="仿宋_GB2312" w:cs="仿宋_GB2312"/>
          <w:b/>
          <w:bCs/>
          <w:sz w:val="28"/>
          <w:szCs w:val="28"/>
        </w:rPr>
      </w:pPr>
      <w:bookmarkStart w:id="230" w:name="_Toc8713"/>
      <w:bookmarkStart w:id="231" w:name="_Toc24139"/>
      <w:bookmarkStart w:id="232" w:name="_Toc1075"/>
      <w:bookmarkStart w:id="233" w:name="_Toc28360"/>
      <w:bookmarkStart w:id="234" w:name="_Toc14202"/>
      <w:bookmarkStart w:id="235" w:name="_Toc26559"/>
      <w:bookmarkStart w:id="236" w:name="_Toc11155"/>
      <w:r>
        <w:rPr>
          <w:rFonts w:hint="eastAsia" w:ascii="仿宋_GB2312" w:hAnsi="仿宋_GB2312" w:eastAsia="仿宋_GB2312" w:cs="仿宋_GB2312"/>
          <w:b/>
          <w:bCs/>
          <w:sz w:val="28"/>
          <w:szCs w:val="28"/>
        </w:rPr>
        <w:t>7.2服务三农</w:t>
      </w:r>
      <w:bookmarkEnd w:id="230"/>
      <w:bookmarkEnd w:id="231"/>
      <w:bookmarkEnd w:id="232"/>
      <w:bookmarkEnd w:id="233"/>
      <w:bookmarkEnd w:id="234"/>
      <w:bookmarkEnd w:id="235"/>
      <w:bookmarkEnd w:id="236"/>
    </w:p>
    <w:p>
      <w:pPr>
        <w:autoSpaceDE w:val="0"/>
        <w:autoSpaceDN w:val="0"/>
        <w:adjustRightInd w:val="0"/>
        <w:spacing w:line="520" w:lineRule="exact"/>
        <w:ind w:firstLine="562" w:firstLineChars="200"/>
        <w:jc w:val="left"/>
        <w:rPr>
          <w:rFonts w:ascii="仿宋" w:hAnsi="仿宋" w:eastAsia="仿宋" w:cs="仿宋_GB2312"/>
          <w:b/>
          <w:bCs/>
          <w:kern w:val="0"/>
          <w:sz w:val="28"/>
          <w:szCs w:val="28"/>
        </w:rPr>
      </w:pPr>
      <w:r>
        <w:rPr>
          <w:rFonts w:hint="eastAsia" w:ascii="仿宋" w:hAnsi="仿宋" w:eastAsia="仿宋" w:cs="仿宋_GB2312"/>
          <w:b/>
          <w:bCs/>
          <w:kern w:val="0"/>
          <w:sz w:val="28"/>
          <w:szCs w:val="28"/>
        </w:rPr>
        <w:t>（1）技术服务</w:t>
      </w:r>
    </w:p>
    <w:p>
      <w:pPr>
        <w:autoSpaceDE w:val="0"/>
        <w:autoSpaceDN w:val="0"/>
        <w:adjustRightInd w:val="0"/>
        <w:spacing w:line="520" w:lineRule="exact"/>
        <w:ind w:firstLine="560" w:firstLineChars="200"/>
        <w:jc w:val="left"/>
        <w:rPr>
          <w:rFonts w:ascii="仿宋" w:hAnsi="仿宋" w:eastAsia="仿宋" w:cs="仿宋_GB2312"/>
          <w:kern w:val="0"/>
          <w:sz w:val="28"/>
          <w:szCs w:val="28"/>
        </w:rPr>
      </w:pPr>
      <w:r>
        <w:rPr>
          <w:rFonts w:hint="eastAsia" w:ascii="仿宋" w:hAnsi="仿宋" w:eastAsia="仿宋" w:cs="仿宋_GB2312"/>
          <w:kern w:val="0"/>
          <w:sz w:val="28"/>
          <w:szCs w:val="28"/>
        </w:rPr>
        <w:t>学院充分利用专业教学实训基地和师资的资源优势，主动服务地方经济建设，拓宽技术服务领域，提高服务质量，积极为企业解决生产实际中的技术难题，如药品生产技术专业与邵阳市北塔区田庄土元养殖基地合作，为该公司温室化立体复式养殖过程中饲养土配制、饲料投放方式、养殖温湿度控制、土元放养密度、土元孵化技术、成虫采收加工等提供技术研发。</w:t>
      </w:r>
    </w:p>
    <w:p>
      <w:pPr>
        <w:spacing w:line="520" w:lineRule="exact"/>
        <w:ind w:firstLine="562" w:firstLineChars="200"/>
        <w:rPr>
          <w:rFonts w:ascii="仿宋" w:hAnsi="仿宋" w:eastAsia="仿宋" w:cs="仿宋_GB2312"/>
          <w:b/>
          <w:bCs/>
          <w:kern w:val="0"/>
          <w:sz w:val="28"/>
          <w:szCs w:val="28"/>
        </w:rPr>
      </w:pPr>
      <w:r>
        <w:rPr>
          <w:rFonts w:hint="eastAsia" w:ascii="仿宋" w:hAnsi="仿宋" w:eastAsia="仿宋" w:cs="仿宋_GB2312"/>
          <w:b/>
          <w:bCs/>
          <w:kern w:val="0"/>
          <w:sz w:val="28"/>
          <w:szCs w:val="28"/>
        </w:rPr>
        <w:t>（2）社会培训</w:t>
      </w:r>
    </w:p>
    <w:p>
      <w:pPr>
        <w:autoSpaceDE w:val="0"/>
        <w:autoSpaceDN w:val="0"/>
        <w:adjustRightInd w:val="0"/>
        <w:spacing w:line="520" w:lineRule="exact"/>
        <w:ind w:firstLine="560" w:firstLineChars="200"/>
        <w:jc w:val="left"/>
        <w:rPr>
          <w:rFonts w:ascii="仿宋" w:hAnsi="仿宋" w:eastAsia="仿宋" w:cs="仿宋_GB2312"/>
          <w:kern w:val="0"/>
          <w:sz w:val="28"/>
          <w:szCs w:val="28"/>
        </w:rPr>
      </w:pPr>
      <w:r>
        <w:rPr>
          <w:rFonts w:hint="eastAsia" w:ascii="仿宋" w:hAnsi="仿宋" w:eastAsia="仿宋" w:cs="仿宋_GB2312"/>
          <w:kern w:val="0"/>
          <w:sz w:val="28"/>
          <w:szCs w:val="28"/>
        </w:rPr>
        <w:t>我院继续教育与培训学院，于2017年11月18日至12月25日举办第二期新型职业农民培训班，参加培训的学员共有296人。培训以水稻、蔬菜、养猪（牛）为主的三大专业。依据农业部推介发布《新型职业农民培训规范》要求，制定以水稻、蔬菜、养猪的三个专业培训方案，科学安排内容和课程，保证课堂教学时间与实践参观、讨论时间接近1：1，按照50个人一个班，制定出教学管理方案，做到“一班一案”。组织全体学员到全国十佳休闲农业示范基地——长沙宁乡灰汤金太阳现代休闲农庄学习参观，开阔学员眼界。培训取得圆满成功，学员评价良好。</w:t>
      </w:r>
    </w:p>
    <w:p>
      <w:pPr>
        <w:autoSpaceDE w:val="0"/>
        <w:autoSpaceDN w:val="0"/>
        <w:adjustRightInd w:val="0"/>
        <w:jc w:val="left"/>
        <w:rPr>
          <w:rFonts w:ascii="楷体" w:hAnsi="楷体" w:eastAsia="楷体" w:cs="楷体"/>
          <w:b/>
          <w:sz w:val="28"/>
          <w:szCs w:val="28"/>
        </w:rPr>
      </w:pPr>
      <w:r>
        <w:rPr>
          <w:rFonts w:hint="eastAsia" w:ascii="楷体" w:hAnsi="楷体" w:eastAsia="楷体" w:cs="楷体"/>
          <w:b/>
          <w:sz w:val="28"/>
          <w:szCs w:val="28"/>
        </w:rPr>
        <w:t>案例4：</w:t>
      </w:r>
    </w:p>
    <w:p>
      <w:pPr>
        <w:autoSpaceDE w:val="0"/>
        <w:autoSpaceDN w:val="0"/>
        <w:adjustRightInd w:val="0"/>
        <w:jc w:val="center"/>
        <w:rPr>
          <w:rFonts w:ascii="楷体" w:hAnsi="楷体" w:eastAsia="楷体" w:cs="楷体"/>
          <w:b/>
          <w:sz w:val="28"/>
          <w:szCs w:val="28"/>
        </w:rPr>
      </w:pPr>
      <w:r>
        <w:rPr>
          <w:rFonts w:hint="eastAsia" w:ascii="楷体" w:hAnsi="楷体" w:eastAsia="楷体" w:cs="楷体"/>
          <w:b/>
          <w:sz w:val="28"/>
          <w:szCs w:val="28"/>
        </w:rPr>
        <w:t>加强产学研协同创新，为脱贫攻坚插上科技翅膀</w:t>
      </w:r>
    </w:p>
    <w:p>
      <w:pPr>
        <w:autoSpaceDE w:val="0"/>
        <w:autoSpaceDN w:val="0"/>
        <w:adjustRightInd w:val="0"/>
        <w:spacing w:line="400" w:lineRule="exact"/>
        <w:ind w:firstLine="480" w:firstLineChars="200"/>
        <w:jc w:val="left"/>
        <w:rPr>
          <w:rFonts w:ascii="楷体" w:hAnsi="楷体" w:eastAsia="楷体" w:cs="楷体"/>
          <w:sz w:val="24"/>
          <w:szCs w:val="24"/>
        </w:rPr>
      </w:pPr>
      <w:r>
        <w:rPr>
          <w:rFonts w:hint="eastAsia" w:ascii="楷体" w:hAnsi="楷体" w:eastAsia="楷体" w:cs="楷体"/>
          <w:sz w:val="24"/>
          <w:szCs w:val="24"/>
        </w:rPr>
        <w:t>201</w:t>
      </w:r>
      <w:r>
        <w:rPr>
          <w:rFonts w:hint="eastAsia" w:ascii="楷体" w:hAnsi="楷体" w:eastAsia="楷体" w:cs="楷体"/>
          <w:sz w:val="24"/>
          <w:szCs w:val="24"/>
          <w:lang w:val="en-US" w:eastAsia="zh-CN"/>
        </w:rPr>
        <w:t>7</w:t>
      </w:r>
      <w:r>
        <w:rPr>
          <w:rFonts w:hint="eastAsia" w:ascii="楷体" w:hAnsi="楷体" w:eastAsia="楷体" w:cs="楷体"/>
          <w:sz w:val="24"/>
          <w:szCs w:val="24"/>
        </w:rPr>
        <w:t>年，邵阳职业技术学院生物工程系以“绿色、循环、标准”为主题，与邵阳市田庄土元技术开发有限公司展开产学研合作，创新实施“特色中药材——土元规范化养殖、示范与推广”， 以技能培训为基础、以产业项目为依托、以就业增收为目标，助力邵阳市北塔区陈家桥乡“省级贫困村”——田庄村的脱贫致富工作。</w:t>
      </w:r>
    </w:p>
    <w:p>
      <w:pPr>
        <w:autoSpaceDE w:val="0"/>
        <w:autoSpaceDN w:val="0"/>
        <w:adjustRightInd w:val="0"/>
        <w:spacing w:line="400" w:lineRule="exact"/>
        <w:ind w:firstLine="480" w:firstLineChars="200"/>
        <w:jc w:val="left"/>
        <w:rPr>
          <w:rFonts w:ascii="楷体" w:hAnsi="楷体" w:eastAsia="楷体" w:cs="楷体"/>
          <w:sz w:val="24"/>
          <w:szCs w:val="24"/>
        </w:rPr>
      </w:pPr>
      <w:r>
        <w:rPr>
          <w:rFonts w:hint="eastAsia" w:ascii="楷体" w:hAnsi="楷体" w:eastAsia="楷体" w:cs="楷体"/>
          <w:sz w:val="24"/>
          <w:szCs w:val="24"/>
        </w:rPr>
        <w:t>一、培训新型农民，提升主体素质：在土元生产过程中，生物工程系加大对养殖户的培训，培训次数达26人次，针对性的解决土元饲养土配制及饲料投放技术等问题，收到了良好的效果。</w:t>
      </w:r>
    </w:p>
    <w:p>
      <w:pPr>
        <w:autoSpaceDE w:val="0"/>
        <w:autoSpaceDN w:val="0"/>
        <w:adjustRightInd w:val="0"/>
        <w:spacing w:line="400" w:lineRule="exact"/>
        <w:ind w:firstLine="480" w:firstLineChars="200"/>
        <w:jc w:val="left"/>
        <w:rPr>
          <w:rFonts w:ascii="楷体" w:hAnsi="楷体" w:eastAsia="楷体" w:cs="楷体"/>
          <w:sz w:val="24"/>
          <w:szCs w:val="24"/>
        </w:rPr>
      </w:pPr>
      <w:r>
        <w:rPr>
          <w:rFonts w:hint="eastAsia" w:ascii="楷体" w:hAnsi="楷体" w:eastAsia="楷体" w:cs="楷体"/>
          <w:sz w:val="24"/>
          <w:szCs w:val="24"/>
        </w:rPr>
        <w:t>二、差异化定位，科技创新产业项目：开展温室化立体复式养殖技术，使土元的生长周期由自然生长的2.5～3年缩短为8～12个月，使单位面积利用率增加4～5倍，养殖经济效益增加近10倍。通过开展养殖新技术和商务新模式的创新与示范，推进良法、良壤、良制、良机集成配套，真正建立“做给农民看、带着农民干”，加快农业科技成果的推广应用。</w:t>
      </w:r>
    </w:p>
    <w:p>
      <w:pPr>
        <w:autoSpaceDE w:val="0"/>
        <w:autoSpaceDN w:val="0"/>
        <w:adjustRightInd w:val="0"/>
        <w:spacing w:line="400" w:lineRule="exact"/>
        <w:ind w:firstLine="480" w:firstLineChars="200"/>
        <w:jc w:val="left"/>
        <w:rPr>
          <w:rFonts w:ascii="宋体" w:hAnsi="宋体"/>
          <w:color w:val="333333"/>
          <w:kern w:val="0"/>
          <w:sz w:val="28"/>
          <w:szCs w:val="28"/>
        </w:rPr>
      </w:pPr>
      <w:r>
        <w:rPr>
          <w:rFonts w:hint="eastAsia" w:ascii="楷体" w:hAnsi="楷体" w:eastAsia="楷体" w:cs="楷体"/>
          <w:sz w:val="24"/>
          <w:szCs w:val="24"/>
        </w:rPr>
        <w:t>通过一年的培训、宣传及技术服务，辐射带动了该村70余家贫困户发展土元养殖、脱贫致富，实现贫困户每户年平均增收30000元（户均养殖用地面积30平米，养殖面积150平米），为探索解决“三农”问题，及本地区特种养殖产业化推广提供了经验借鉴。</w:t>
      </w:r>
    </w:p>
    <w:p>
      <w:pPr>
        <w:rPr>
          <w:rFonts w:ascii="宋体" w:hAnsi="宋体"/>
          <w:color w:val="333333"/>
          <w:kern w:val="0"/>
          <w:sz w:val="28"/>
          <w:szCs w:val="28"/>
        </w:rPr>
      </w:pPr>
      <w:r>
        <w:rPr>
          <w:rFonts w:hint="eastAsia" w:ascii="宋体" w:hAnsi="宋体"/>
          <w:color w:val="333333"/>
          <w:kern w:val="0"/>
          <w:sz w:val="28"/>
          <w:szCs w:val="28"/>
        </w:rPr>
        <w:drawing>
          <wp:inline distT="0" distB="0" distL="114300" distR="114300">
            <wp:extent cx="5273040" cy="2339975"/>
            <wp:effectExtent l="0" t="0" r="3810" b="3175"/>
            <wp:docPr id="16"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
                    <pic:cNvPicPr>
                      <a:picLocks noChangeAspect="1"/>
                    </pic:cNvPicPr>
                  </pic:nvPicPr>
                  <pic:blipFill>
                    <a:blip r:embed="rId52"/>
                    <a:stretch>
                      <a:fillRect/>
                    </a:stretch>
                  </pic:blipFill>
                  <pic:spPr>
                    <a:xfrm>
                      <a:off x="0" y="0"/>
                      <a:ext cx="5273040" cy="2339975"/>
                    </a:xfrm>
                    <a:prstGeom prst="rect">
                      <a:avLst/>
                    </a:prstGeom>
                  </pic:spPr>
                </pic:pic>
              </a:graphicData>
            </a:graphic>
          </wp:inline>
        </w:drawing>
      </w:r>
    </w:p>
    <w:p>
      <w:pPr>
        <w:jc w:val="center"/>
        <w:rPr>
          <w:rFonts w:ascii="楷体" w:hAnsi="楷体" w:eastAsia="楷体" w:cs="楷体"/>
        </w:rPr>
      </w:pPr>
      <w:r>
        <w:rPr>
          <w:rFonts w:hint="eastAsia" w:ascii="楷体" w:hAnsi="楷体" w:eastAsia="楷体" w:cs="楷体"/>
        </w:rPr>
        <w:t>图为专业教师在现场工作</w:t>
      </w:r>
    </w:p>
    <w:p>
      <w:pPr>
        <w:spacing w:line="520" w:lineRule="exact"/>
        <w:rPr>
          <w:rFonts w:ascii="仿宋_GB2312" w:hAnsi="仿宋_GB2312" w:eastAsia="仿宋_GB2312" w:cs="仿宋_GB2312"/>
          <w:sz w:val="28"/>
          <w:szCs w:val="28"/>
        </w:rPr>
      </w:pPr>
      <w:bookmarkStart w:id="237" w:name="_Toc32395"/>
      <w:bookmarkStart w:id="238" w:name="_Toc280"/>
      <w:bookmarkStart w:id="239" w:name="_Toc1470"/>
      <w:bookmarkStart w:id="240" w:name="_Toc7017"/>
      <w:bookmarkStart w:id="241" w:name="_Toc23178"/>
      <w:bookmarkStart w:id="242" w:name="_Toc32741"/>
      <w:bookmarkStart w:id="243" w:name="_Toc6707"/>
      <w:r>
        <w:rPr>
          <w:rFonts w:hint="eastAsia" w:ascii="仿宋_GB2312" w:hAnsi="仿宋_GB2312" w:eastAsia="仿宋_GB2312" w:cs="仿宋_GB2312"/>
          <w:b/>
          <w:bCs/>
          <w:sz w:val="28"/>
          <w:szCs w:val="28"/>
        </w:rPr>
        <w:t>7.3精准扶贫</w:t>
      </w:r>
      <w:bookmarkEnd w:id="237"/>
      <w:bookmarkEnd w:id="238"/>
      <w:bookmarkEnd w:id="239"/>
      <w:bookmarkEnd w:id="240"/>
      <w:bookmarkEnd w:id="241"/>
      <w:bookmarkEnd w:id="242"/>
      <w:bookmarkEnd w:id="243"/>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40" w:firstLineChars="300"/>
        <w:jc w:val="both"/>
        <w:textAlignment w:val="auto"/>
        <w:outlineLvl w:val="9"/>
        <w:rPr>
          <w:rFonts w:ascii="楷体" w:hAnsi="楷体" w:eastAsia="楷体" w:cs="楷体"/>
          <w:color w:val="000000"/>
          <w:sz w:val="21"/>
        </w:rPr>
      </w:pPr>
      <w:r>
        <w:rPr>
          <w:rFonts w:hint="eastAsia" w:ascii="宋体" w:hAnsi="宋体" w:eastAsia="宋体" w:cs="宋体"/>
          <w:color w:val="000000"/>
          <w:sz w:val="18"/>
          <w:szCs w:val="18"/>
        </w:rPr>
        <w:drawing>
          <wp:anchor distT="0" distB="0" distL="114300" distR="114300" simplePos="0" relativeHeight="251660288" behindDoc="1" locked="0" layoutInCell="1" allowOverlap="1">
            <wp:simplePos x="0" y="0"/>
            <wp:positionH relativeFrom="column">
              <wp:posOffset>1565910</wp:posOffset>
            </wp:positionH>
            <wp:positionV relativeFrom="paragraph">
              <wp:posOffset>2666365</wp:posOffset>
            </wp:positionV>
            <wp:extent cx="3743960" cy="2495550"/>
            <wp:effectExtent l="0" t="0" r="8890" b="0"/>
            <wp:wrapTight wrapText="bothSides">
              <wp:wrapPolygon>
                <wp:start x="0" y="0"/>
                <wp:lineTo x="0" y="21435"/>
                <wp:lineTo x="21541" y="21435"/>
                <wp:lineTo x="21541" y="0"/>
                <wp:lineTo x="0" y="0"/>
              </wp:wrapPolygon>
            </wp:wrapTight>
            <wp:docPr id="1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56"/>
                    <pic:cNvPicPr>
                      <a:picLocks noChangeAspect="1"/>
                    </pic:cNvPicPr>
                  </pic:nvPicPr>
                  <pic:blipFill>
                    <a:blip r:embed="rId53"/>
                    <a:stretch>
                      <a:fillRect/>
                    </a:stretch>
                  </pic:blipFill>
                  <pic:spPr>
                    <a:xfrm>
                      <a:off x="0" y="0"/>
                      <a:ext cx="3743960" cy="2495550"/>
                    </a:xfrm>
                    <a:prstGeom prst="rect">
                      <a:avLst/>
                    </a:prstGeom>
                    <a:noFill/>
                    <a:ln w="9525">
                      <a:noFill/>
                    </a:ln>
                  </pic:spPr>
                </pic:pic>
              </a:graphicData>
            </a:graphic>
          </wp:anchor>
        </w:drawing>
      </w:r>
      <w:r>
        <w:rPr>
          <w:rFonts w:hint="eastAsia" w:ascii="仿宋" w:hAnsi="仿宋" w:eastAsia="仿宋"/>
          <w:sz w:val="28"/>
          <w:szCs w:val="28"/>
        </w:rPr>
        <w:t>根据上级安排，我院驻村扶贫点为城步县儒林镇金水村，该村地处高山中，交通不便，条件艰苦，共有贫困户177户807人。学院党委、行政十分重视扶贫攻坚工作，多次召开专门会议布置相关工作，主要领导多次到村慰问和指导帮扶对象；安排院党委副书记、组织人事处处长负责驻村帮扶工作的指导调研和联络，发挥好组织领导和保障作用；选调得力干部3人组成</w:t>
      </w:r>
      <w:r>
        <w:rPr>
          <w:rFonts w:ascii="仿宋" w:hAnsi="仿宋" w:eastAsia="仿宋"/>
          <w:sz w:val="28"/>
          <w:szCs w:val="28"/>
        </w:rPr>
        <w:t>常驻村工作队</w:t>
      </w:r>
      <w:r>
        <w:rPr>
          <w:rFonts w:hint="eastAsia" w:ascii="仿宋" w:hAnsi="仿宋" w:eastAsia="仿宋"/>
          <w:sz w:val="28"/>
          <w:szCs w:val="28"/>
        </w:rPr>
        <w:t>，并</w:t>
      </w:r>
      <w:r>
        <w:rPr>
          <w:rFonts w:ascii="仿宋" w:hAnsi="仿宋" w:eastAsia="仿宋"/>
          <w:sz w:val="28"/>
          <w:szCs w:val="28"/>
        </w:rPr>
        <w:t>制定了</w:t>
      </w:r>
      <w:r>
        <w:rPr>
          <w:rFonts w:hint="eastAsia" w:ascii="仿宋" w:hAnsi="仿宋" w:eastAsia="仿宋"/>
          <w:sz w:val="28"/>
          <w:szCs w:val="28"/>
        </w:rPr>
        <w:t>《邵阳职业技术学院驻村帮扶工作队管理规定》。工作队按照上级要求，不折不扣执行各项扶贫任务，通过引进企业帮扶、引进</w:t>
      </w:r>
      <w:r>
        <w:rPr>
          <w:rFonts w:ascii="仿宋" w:hAnsi="仿宋" w:eastAsia="仿宋"/>
          <w:sz w:val="28"/>
          <w:szCs w:val="28"/>
        </w:rPr>
        <w:t>光伏发电</w:t>
      </w:r>
      <w:r>
        <w:rPr>
          <w:rFonts w:hint="eastAsia" w:ascii="仿宋" w:hAnsi="仿宋" w:eastAsia="仿宋"/>
          <w:sz w:val="28"/>
          <w:szCs w:val="28"/>
        </w:rPr>
        <w:t>项目、改善基础设施、设立教育扶贫基金、发展种植业和养殖业等方式，取得了良好效果，该村现</w:t>
      </w:r>
      <w:r>
        <w:rPr>
          <w:rFonts w:ascii="仿宋" w:hAnsi="仿宋" w:eastAsia="仿宋"/>
          <w:sz w:val="28"/>
          <w:szCs w:val="28"/>
        </w:rPr>
        <w:t>已脱贫人数</w:t>
      </w:r>
      <w:r>
        <w:rPr>
          <w:rFonts w:hint="eastAsia" w:ascii="仿宋" w:hAnsi="仿宋" w:eastAsia="仿宋"/>
          <w:sz w:val="28"/>
          <w:szCs w:val="28"/>
        </w:rPr>
        <w:t>1</w:t>
      </w:r>
      <w:r>
        <w:rPr>
          <w:rFonts w:ascii="仿宋" w:hAnsi="仿宋" w:eastAsia="仿宋"/>
          <w:sz w:val="28"/>
          <w:szCs w:val="28"/>
        </w:rPr>
        <w:t>54户</w:t>
      </w:r>
      <w:r>
        <w:rPr>
          <w:rFonts w:hint="eastAsia" w:ascii="仿宋" w:hAnsi="仿宋" w:eastAsia="仿宋"/>
          <w:sz w:val="28"/>
          <w:szCs w:val="28"/>
        </w:rPr>
        <w:t>722人，脱贫率89.46%，其中2017年脱贫55户239人。</w:t>
      </w:r>
      <w:r>
        <w:rPr>
          <w:rFonts w:hint="eastAsia" w:ascii="仿宋" w:hAnsi="仿宋" w:eastAsia="仿宋"/>
          <w:sz w:val="28"/>
          <w:szCs w:val="28"/>
          <w:lang w:val="en-US" w:eastAsia="zh-CN"/>
        </w:rPr>
        <w:t xml:space="preserve">                 </w:t>
      </w:r>
      <w:r>
        <w:rPr>
          <w:rFonts w:hint="eastAsia" w:ascii="楷体" w:hAnsi="楷体" w:eastAsia="楷体" w:cs="楷体"/>
          <w:color w:val="000000"/>
          <w:sz w:val="21"/>
        </w:rPr>
        <w:t>图为教育扶贫基金捐赠仪式</w:t>
      </w:r>
    </w:p>
    <w:p>
      <w:pPr>
        <w:pStyle w:val="6"/>
        <w:widowControl/>
        <w:shd w:val="clear" w:color="auto" w:fill="FFFFFF"/>
        <w:spacing w:beforeAutospacing="0" w:afterAutospacing="0" w:line="450" w:lineRule="atLeast"/>
        <w:jc w:val="both"/>
        <w:rPr>
          <w:rFonts w:ascii="楷体" w:hAnsi="楷体" w:eastAsia="楷体" w:cs="楷体"/>
          <w:color w:val="000000"/>
          <w:sz w:val="21"/>
        </w:rPr>
      </w:pPr>
    </w:p>
    <w:p>
      <w:pPr>
        <w:rPr>
          <w:rFonts w:ascii="黑体" w:hAnsi="黑体" w:eastAsia="黑体" w:cs="黑体"/>
          <w:bCs/>
          <w:sz w:val="32"/>
          <w:szCs w:val="32"/>
        </w:rPr>
      </w:pPr>
      <w:bookmarkStart w:id="244" w:name="_Toc19080"/>
      <w:bookmarkStart w:id="245" w:name="_Toc31539"/>
      <w:bookmarkStart w:id="246" w:name="_Toc5834"/>
      <w:bookmarkStart w:id="247" w:name="_Toc22564"/>
      <w:bookmarkStart w:id="248" w:name="_Toc7896"/>
      <w:bookmarkStart w:id="249" w:name="_Toc23519"/>
      <w:bookmarkStart w:id="250" w:name="_Toc18615"/>
      <w:r>
        <w:rPr>
          <w:rFonts w:hint="eastAsia" w:ascii="黑体" w:hAnsi="黑体" w:eastAsia="黑体" w:cs="黑体"/>
          <w:sz w:val="32"/>
          <w:szCs w:val="32"/>
        </w:rPr>
        <w:t>8.问题与</w:t>
      </w:r>
      <w:r>
        <w:rPr>
          <w:rFonts w:hint="eastAsia" w:ascii="黑体" w:hAnsi="黑体" w:eastAsia="黑体" w:cs="黑体"/>
          <w:bCs/>
          <w:sz w:val="32"/>
          <w:szCs w:val="32"/>
        </w:rPr>
        <w:t>挑战</w:t>
      </w:r>
      <w:bookmarkEnd w:id="244"/>
      <w:bookmarkEnd w:id="245"/>
      <w:bookmarkEnd w:id="246"/>
      <w:bookmarkEnd w:id="247"/>
      <w:bookmarkEnd w:id="248"/>
      <w:bookmarkEnd w:id="249"/>
      <w:bookmarkEnd w:id="250"/>
    </w:p>
    <w:p>
      <w:pPr>
        <w:pStyle w:val="6"/>
        <w:widowControl/>
        <w:shd w:val="clear" w:color="auto" w:fill="FFFFFF"/>
        <w:spacing w:beforeAutospacing="0" w:afterAutospacing="0"/>
        <w:rPr>
          <w:rFonts w:ascii="仿宋_GB2312" w:hAnsi="仿宋_GB2312" w:eastAsia="仿宋_GB2312" w:cs="仿宋_GB2312"/>
          <w:b/>
          <w:bCs/>
          <w:kern w:val="2"/>
          <w:sz w:val="28"/>
          <w:szCs w:val="28"/>
        </w:rPr>
      </w:pPr>
      <w:bookmarkStart w:id="251" w:name="_Toc1099"/>
      <w:bookmarkStart w:id="252" w:name="_Toc5594"/>
      <w:bookmarkStart w:id="253" w:name="_Toc9890"/>
      <w:bookmarkStart w:id="254" w:name="_Toc30942"/>
      <w:bookmarkStart w:id="255" w:name="_Toc12865"/>
      <w:bookmarkStart w:id="256" w:name="_Toc23538"/>
      <w:bookmarkStart w:id="257" w:name="_Toc15345"/>
      <w:r>
        <w:rPr>
          <w:rFonts w:hint="eastAsia" w:ascii="仿宋_GB2312" w:hAnsi="仿宋_GB2312" w:eastAsia="仿宋_GB2312" w:cs="仿宋_GB2312"/>
          <w:b/>
          <w:bCs/>
          <w:kern w:val="2"/>
          <w:sz w:val="28"/>
          <w:szCs w:val="28"/>
        </w:rPr>
        <w:t>8.1高质量时代对学校供给能力的挑战</w:t>
      </w:r>
      <w:bookmarkEnd w:id="251"/>
      <w:bookmarkEnd w:id="252"/>
      <w:bookmarkEnd w:id="253"/>
      <w:bookmarkEnd w:id="254"/>
      <w:bookmarkEnd w:id="255"/>
      <w:bookmarkEnd w:id="256"/>
      <w:bookmarkEnd w:id="257"/>
    </w:p>
    <w:p>
      <w:pPr>
        <w:pStyle w:val="6"/>
        <w:widowControl/>
        <w:shd w:val="clear" w:color="auto" w:fill="FFFFFF"/>
        <w:spacing w:beforeAutospacing="0" w:afterAutospacing="0"/>
        <w:ind w:firstLine="560" w:firstLineChars="200"/>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我国经济与社会正在向高端迈进，人们对教育的质量要求越来越高，学院在教学设施设备、师资力量等方面，部分教职工在服务理念、职业精神等方面离办人民满意的高职教育、办高质量的高职教育尚有一定差距。我们要通过加大机制体制改革力度，挖掘教职工的潜力，提高学院供给能力，满足广大人民群众对高职教育高质量的美好愿望。</w:t>
      </w:r>
    </w:p>
    <w:p>
      <w:pPr>
        <w:pStyle w:val="6"/>
        <w:widowControl/>
        <w:shd w:val="clear" w:color="auto" w:fill="FFFFFF"/>
        <w:spacing w:beforeAutospacing="0" w:afterAutospacing="0"/>
        <w:rPr>
          <w:rFonts w:ascii="仿宋_GB2312" w:hAnsi="仿宋_GB2312" w:eastAsia="仿宋_GB2312" w:cs="仿宋_GB2312"/>
          <w:b/>
          <w:bCs/>
          <w:kern w:val="2"/>
          <w:sz w:val="28"/>
          <w:szCs w:val="28"/>
        </w:rPr>
      </w:pPr>
      <w:bookmarkStart w:id="258" w:name="_Toc23732"/>
      <w:bookmarkStart w:id="259" w:name="_Toc25564"/>
      <w:bookmarkStart w:id="260" w:name="_Toc23931"/>
      <w:bookmarkStart w:id="261" w:name="_Toc19082"/>
      <w:bookmarkStart w:id="262" w:name="_Toc24966"/>
      <w:bookmarkStart w:id="263" w:name="_Toc5808"/>
      <w:bookmarkStart w:id="264" w:name="_Toc23580"/>
      <w:r>
        <w:rPr>
          <w:rFonts w:hint="eastAsia" w:ascii="仿宋_GB2312" w:hAnsi="仿宋_GB2312" w:eastAsia="仿宋_GB2312" w:cs="仿宋_GB2312"/>
          <w:b/>
          <w:bCs/>
          <w:kern w:val="2"/>
          <w:sz w:val="28"/>
          <w:szCs w:val="28"/>
        </w:rPr>
        <w:t>8.2新技术革命对学校资源配置的挑战</w:t>
      </w:r>
      <w:bookmarkEnd w:id="258"/>
      <w:bookmarkEnd w:id="259"/>
      <w:bookmarkEnd w:id="260"/>
      <w:bookmarkEnd w:id="261"/>
      <w:bookmarkEnd w:id="262"/>
      <w:bookmarkEnd w:id="263"/>
      <w:bookmarkEnd w:id="264"/>
    </w:p>
    <w:p>
      <w:pPr>
        <w:pStyle w:val="6"/>
        <w:widowControl/>
        <w:shd w:val="clear" w:color="auto" w:fill="FFFFFF"/>
        <w:spacing w:beforeAutospacing="0" w:afterAutospacing="0"/>
        <w:ind w:firstLine="560" w:firstLineChars="200"/>
        <w:rPr>
          <w:rFonts w:ascii="仿宋_GB2312" w:hAnsi="仿宋_GB2312" w:eastAsia="仿宋_GB2312" w:cs="仿宋_GB2312"/>
          <w:kern w:val="2"/>
          <w:sz w:val="28"/>
          <w:szCs w:val="28"/>
        </w:rPr>
      </w:pPr>
      <w:r>
        <w:rPr>
          <w:rFonts w:ascii="仿宋_GB2312" w:hAnsi="仿宋_GB2312" w:eastAsia="仿宋_GB2312" w:cs="仿宋_GB2312"/>
          <w:kern w:val="2"/>
          <w:sz w:val="28"/>
          <w:szCs w:val="28"/>
        </w:rPr>
        <w:t>我们正处在第四次工业革命前沿，“云计算”“物联网”“大数据”“智能化</w:t>
      </w:r>
      <w:r>
        <w:rPr>
          <w:rFonts w:hint="eastAsia" w:ascii="仿宋_GB2312" w:hAnsi="仿宋_GB2312" w:eastAsia="仿宋_GB2312" w:cs="仿宋_GB2312"/>
          <w:kern w:val="2"/>
          <w:sz w:val="28"/>
          <w:szCs w:val="28"/>
        </w:rPr>
        <w:t>”等新技术的运用，催生了新经济、新业态；产业变化节奏大大加速。跟上产业发展步伐，专业必须迅速调整，这就需要不断投入优质资源。而我院各方面资源本就紧张，又要加大投入，这就要求我们加大校企、校政、校社合作力度，充分利用校外资源，合理利用校内资源。</w:t>
      </w:r>
    </w:p>
    <w:p>
      <w:pPr>
        <w:pStyle w:val="6"/>
        <w:widowControl/>
        <w:shd w:val="clear" w:color="auto" w:fill="FFFFFF"/>
        <w:spacing w:beforeAutospacing="0" w:afterAutospacing="0"/>
        <w:rPr>
          <w:rFonts w:ascii="仿宋_GB2312" w:hAnsi="仿宋_GB2312" w:eastAsia="仿宋_GB2312" w:cs="仿宋_GB2312"/>
          <w:b/>
          <w:bCs/>
          <w:kern w:val="2"/>
          <w:sz w:val="28"/>
          <w:szCs w:val="28"/>
        </w:rPr>
      </w:pPr>
      <w:bookmarkStart w:id="265" w:name="_Toc237"/>
      <w:bookmarkStart w:id="266" w:name="_Toc28386"/>
      <w:bookmarkStart w:id="267" w:name="_Toc20917"/>
      <w:bookmarkStart w:id="268" w:name="_Toc3318"/>
      <w:bookmarkStart w:id="269" w:name="_Toc3929"/>
      <w:bookmarkStart w:id="270" w:name="_Toc3520"/>
      <w:bookmarkStart w:id="271" w:name="_Toc5452"/>
      <w:r>
        <w:rPr>
          <w:rFonts w:hint="eastAsia" w:ascii="仿宋_GB2312" w:hAnsi="仿宋_GB2312" w:eastAsia="仿宋_GB2312" w:cs="仿宋_GB2312"/>
          <w:b/>
          <w:bCs/>
          <w:kern w:val="2"/>
          <w:sz w:val="28"/>
          <w:szCs w:val="28"/>
        </w:rPr>
        <w:t>8.3教育对象对传统教育模式的挑战</w:t>
      </w:r>
      <w:bookmarkEnd w:id="265"/>
      <w:bookmarkEnd w:id="266"/>
      <w:bookmarkEnd w:id="267"/>
      <w:bookmarkEnd w:id="268"/>
      <w:bookmarkEnd w:id="269"/>
      <w:bookmarkEnd w:id="270"/>
      <w:bookmarkEnd w:id="271"/>
    </w:p>
    <w:p>
      <w:pPr>
        <w:pStyle w:val="6"/>
        <w:widowControl/>
        <w:shd w:val="clear" w:color="auto" w:fill="FFFFFF"/>
        <w:spacing w:beforeAutospacing="0" w:afterAutospacing="0"/>
        <w:ind w:firstLine="560" w:firstLineChars="200"/>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借助各种新的信息终端和新媒体，学生可以很快看到知识性的信息，因而对常规知识性学习普遍缺乏兴趣，学习动力不强，传统的教育模式已很难达到教育目的。这就需要我们以学生为中心，继续加大课程建设与改革力度，充分利用各种手段，因材施教。</w:t>
      </w:r>
    </w:p>
    <w:p>
      <w:pPr>
        <w:pStyle w:val="6"/>
        <w:widowControl/>
        <w:shd w:val="clear" w:color="auto" w:fill="FFFFFF"/>
        <w:spacing w:beforeAutospacing="0" w:afterAutospacing="0" w:line="520" w:lineRule="exact"/>
        <w:jc w:val="both"/>
        <w:rPr>
          <w:rFonts w:ascii="宋体" w:hAnsi="宋体" w:eastAsia="宋体" w:cs="宋体"/>
          <w:color w:val="000000"/>
          <w:sz w:val="18"/>
          <w:szCs w:val="18"/>
        </w:rPr>
      </w:pPr>
    </w:p>
    <w:sectPr>
      <w:footerReference r:id="rId9"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Arial">
    <w:panose1 w:val="020B0604020202020204"/>
    <w:charset w:val="00"/>
    <w:family w:val="swiss"/>
    <w:pitch w:val="default"/>
    <w:sig w:usb0="E0002AFF" w:usb1="C0007843" w:usb2="00000009" w:usb3="00000000" w:csb0="400001FF" w:csb1="FFFF0000"/>
  </w:font>
  <w:font w:name="Calibri Light">
    <w:altName w:val="Calibri"/>
    <w:panose1 w:val="020F0302020204030204"/>
    <w:charset w:val="00"/>
    <w:family w:val="swiss"/>
    <w:pitch w:val="default"/>
    <w:sig w:usb0="00000000" w:usb1="00000000" w:usb2="00000000" w:usb3="00000000" w:csb0="0000019F" w:csb1="00000000"/>
  </w:font>
  <w:font w:name="微软雅黑">
    <w:panose1 w:val="020B0503020204020204"/>
    <w:charset w:val="86"/>
    <w:family w:val="auto"/>
    <w:pitch w:val="default"/>
    <w:sig w:usb0="80000287" w:usb1="280F3C52" w:usb2="00000016" w:usb3="00000000" w:csb0="0004001F" w:csb1="00000000"/>
  </w:font>
  <w:font w:name="Mangal">
    <w:panose1 w:val="02040503050203030202"/>
    <w:charset w:val="00"/>
    <w:family w:val="auto"/>
    <w:pitch w:val="default"/>
    <w:sig w:usb0="00008003" w:usb1="00000000" w:usb2="00000000" w:usb3="00000000" w:csb0="00000001" w:csb1="00000000"/>
  </w:font>
  <w:font w:name="华文新魏">
    <w:panose1 w:val="02010800040101010101"/>
    <w:charset w:val="86"/>
    <w:family w:val="auto"/>
    <w:pitch w:val="default"/>
    <w:sig w:usb0="00000001" w:usb1="080F0000" w:usb2="00000000" w:usb3="00000000" w:csb0="00040000" w:csb1="00000000"/>
  </w:font>
  <w:font w:name="??_GB2312">
    <w:altName w:val="Times New Roman"/>
    <w:panose1 w:val="00000000000000000000"/>
    <w:charset w:val="00"/>
    <w:family w:val="auto"/>
    <w:pitch w:val="default"/>
    <w:sig w:usb0="00000000" w:usb1="00000000" w:usb2="00000000" w:usb3="00000000" w:csb0="00000001" w:csb1="00000000"/>
  </w:font>
  <w:font w:name="HYa1gj">
    <w:altName w:val="宋体"/>
    <w:panose1 w:val="00000000000000000000"/>
    <w:charset w:val="86"/>
    <w:family w:val="auto"/>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叶根友毛笔行书2.0版">
    <w:altName w:val="宋体"/>
    <w:panose1 w:val="02010601030101010101"/>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iconfon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ourier New">
    <w:panose1 w:val="02070309020205020404"/>
    <w:charset w:val="00"/>
    <w:family w:val="modern"/>
    <w:pitch w:val="default"/>
    <w:sig w:usb0="E0002AFF" w:usb1="C0007843" w:usb2="00000009" w:usb3="00000000" w:csb0="400001FF" w:csb1="FFFF0000"/>
  </w:font>
  <w:font w:name="华文楷体">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新宋体">
    <w:panose1 w:val="02010609030101010101"/>
    <w:charset w:val="86"/>
    <w:family w:val="auto"/>
    <w:pitch w:val="default"/>
    <w:sig w:usb0="00000003" w:usb1="288F0000" w:usb2="00000006" w:usb3="00000000" w:csb0="00040001" w:csb1="00000000"/>
  </w:font>
  <w:font w:name="Microsoft YaHei UI">
    <w:altName w:val="宋体"/>
    <w:panose1 w:val="020B0503020204020204"/>
    <w:charset w:val="86"/>
    <w:family w:val="auto"/>
    <w:pitch w:val="default"/>
    <w:sig w:usb0="00000000" w:usb1="00000000" w:usb2="00000016" w:usb3="00000000" w:csb0="0004001F" w:csb1="00000000"/>
  </w:font>
  <w:font w:name="Symbol">
    <w:panose1 w:val="05050102010706020507"/>
    <w:charset w:val="00"/>
    <w:family w:val="auto"/>
    <w:pitch w:val="default"/>
    <w:sig w:usb0="00000000" w:usb1="00000000" w:usb2="00000000" w:usb3="00000000" w:csb0="80000000" w:csb1="00000000"/>
  </w:font>
  <w:font w:name="΢���ź�">
    <w:altName w:val="Segoe Print"/>
    <w:panose1 w:val="00000000000000000000"/>
    <w:charset w:val="00"/>
    <w:family w:val="auto"/>
    <w:pitch w:val="default"/>
    <w:sig w:usb0="00000000" w:usb1="00000000" w:usb2="00000000" w:usb3="00000000" w:csb0="00000000" w:csb1="00000000"/>
  </w:font>
  <w:font w:name="Webdings">
    <w:panose1 w:val="05030102010509060703"/>
    <w:charset w:val="02"/>
    <w:family w:val="roman"/>
    <w:pitch w:val="default"/>
    <w:sig w:usb0="00000000" w:usb1="00000000" w:usb2="00000000" w:usb3="00000000" w:csb0="80000000" w:csb1="00000000"/>
  </w:font>
  <w:font w:name="仿宋">
    <w:panose1 w:val="02010609060101010101"/>
    <w:charset w:val="7A"/>
    <w:family w:val="modern"/>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PingFang HK">
    <w:altName w:val="Segoe Print"/>
    <w:panose1 w:val="00000000000000000000"/>
    <w:charset w:val="00"/>
    <w:family w:val="auto"/>
    <w:pitch w:val="default"/>
    <w:sig w:usb0="00000000" w:usb1="00000000" w:usb2="00000000" w:usb3="00000000" w:csb0="00000000" w:csb1="00000000"/>
  </w:font>
  <w:font w:name="PingFang SC">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MS Reference Sans Serif">
    <w:panose1 w:val="020B0604030504040204"/>
    <w:charset w:val="00"/>
    <w:family w:val="auto"/>
    <w:pitch w:val="default"/>
    <w:sig w:usb0="00000287" w:usb1="00000000" w:usb2="00000000" w:usb3="00000000" w:csb0="2000019F" w:csb1="00000000"/>
  </w:font>
  <w:font w:name="MS Outlook">
    <w:panose1 w:val="05010100010000000000"/>
    <w:charset w:val="00"/>
    <w:family w:val="auto"/>
    <w:pitch w:val="default"/>
    <w:sig w:usb0="00000000" w:usb1="00000000" w:usb2="00000000" w:usb3="00000000" w:csb0="80000000" w:csb1="00000000"/>
  </w:font>
  <w:font w:name="MoolBoran">
    <w:panose1 w:val="020B0100010101010101"/>
    <w:charset w:val="00"/>
    <w:family w:val="auto"/>
    <w:pitch w:val="default"/>
    <w:sig w:usb0="8000000F" w:usb1="0000204A" w:usb2="00010000" w:usb3="00000000" w:csb0="00000001" w:csb1="00000000"/>
  </w:font>
  <w:font w:name="Narkisim">
    <w:panose1 w:val="020E0502050101010101"/>
    <w:charset w:val="00"/>
    <w:family w:val="auto"/>
    <w:pitch w:val="default"/>
    <w:sig w:usb0="00000801" w:usb1="00000000" w:usb2="00000000" w:usb3="00000000" w:csb0="00000020" w:csb1="00200000"/>
  </w:font>
  <w:font w:name="Niagara Engraved">
    <w:panose1 w:val="04020502070703030202"/>
    <w:charset w:val="00"/>
    <w:family w:val="auto"/>
    <w:pitch w:val="default"/>
    <w:sig w:usb0="00000003" w:usb1="00000000" w:usb2="00000000" w:usb3="00000000" w:csb0="20000001" w:csb1="00000000"/>
  </w:font>
  <w:font w:name="Niagara Solid">
    <w:panose1 w:val="04020502070702020202"/>
    <w:charset w:val="00"/>
    <w:family w:val="auto"/>
    <w:pitch w:val="default"/>
    <w:sig w:usb0="00000003" w:usb1="00000000" w:usb2="00000000" w:usb3="00000000" w:csb0="20000001" w:csb1="00000000"/>
  </w:font>
  <w:font w:name="Nyala">
    <w:panose1 w:val="02000504070300020003"/>
    <w:charset w:val="00"/>
    <w:family w:val="auto"/>
    <w:pitch w:val="default"/>
    <w:sig w:usb0="A000006F" w:usb1="00000000" w:usb2="00000800" w:usb3="00000000" w:csb0="00000093" w:csb1="00000000"/>
  </w:font>
  <w:font w:name="华文中宋">
    <w:panose1 w:val="02010600040101010101"/>
    <w:charset w:val="86"/>
    <w:family w:val="auto"/>
    <w:pitch w:val="default"/>
    <w:sig w:usb0="00000287" w:usb1="080F0000" w:usb2="00000000" w:usb3="00000000" w:csb0="0004009F" w:csb1="DFD70000"/>
  </w:font>
  <w:font w:name="Gabriola">
    <w:panose1 w:val="04040605051002020D02"/>
    <w:charset w:val="00"/>
    <w:family w:val="auto"/>
    <w:pitch w:val="default"/>
    <w:sig w:usb0="E00002EF" w:usb1="5000204B" w:usb2="00000000" w:usb3="00000000" w:csb0="2000009F" w:csb1="00000000"/>
  </w:font>
  <w:font w:name="方正大黑简体">
    <w:altName w:val="黑体"/>
    <w:panose1 w:val="02010601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skhDNEAIAAAkEAAAOAAAAAAAAAAEAIAAA&#10;AB8BAABkcnMvZTJvRG9jLnhtbFBLBQYAAAAABgAGAFkBAAChBQAAAAA=&#10;">
              <v:fill on="f" focussize="0,0"/>
              <v:stroke on="f" weight="0.5pt"/>
              <v:imagedata o:title=""/>
              <o:lock v:ext="edit" aspectratio="f"/>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r>
      <w:rPr>
        <w:rFonts w:hint="eastAsia" w:eastAsia="方正小标宋简体"/>
        <w:sz w:val="44"/>
        <w:szCs w:val="44"/>
      </w:rPr>
      <w:drawing>
        <wp:anchor distT="0" distB="0" distL="114300" distR="114300" simplePos="0" relativeHeight="251676672" behindDoc="0" locked="0" layoutInCell="1" allowOverlap="1">
          <wp:simplePos x="0" y="0"/>
          <wp:positionH relativeFrom="column">
            <wp:posOffset>440055</wp:posOffset>
          </wp:positionH>
          <wp:positionV relativeFrom="paragraph">
            <wp:posOffset>-80010</wp:posOffset>
          </wp:positionV>
          <wp:extent cx="1155700" cy="313055"/>
          <wp:effectExtent l="0" t="0" r="6350" b="10795"/>
          <wp:wrapNone/>
          <wp:docPr id="42" name="图片 42"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封面"/>
                  <pic:cNvPicPr>
                    <a:picLocks noChangeAspect="1"/>
                  </pic:cNvPicPr>
                </pic:nvPicPr>
                <pic:blipFill>
                  <a:blip r:embed="rId1"/>
                  <a:srcRect l="12495" t="2886" r="53103" b="90375"/>
                  <a:stretch>
                    <a:fillRect/>
                  </a:stretch>
                </pic:blipFill>
                <pic:spPr>
                  <a:xfrm>
                    <a:off x="0" y="0"/>
                    <a:ext cx="1155700" cy="313055"/>
                  </a:xfrm>
                  <a:prstGeom prst="rect">
                    <a:avLst/>
                  </a:prstGeom>
                </pic:spPr>
              </pic:pic>
            </a:graphicData>
          </a:graphic>
        </wp:anchor>
      </w:drawing>
    </w:r>
    <w:r>
      <w:rPr>
        <w:rFonts w:eastAsia="方正小标宋简体"/>
        <w:sz w:val="44"/>
        <w:szCs w:val="44"/>
      </w:rPr>
      <w:drawing>
        <wp:anchor distT="0" distB="0" distL="114300" distR="114300" simplePos="0" relativeHeight="251669504" behindDoc="0" locked="0" layoutInCell="1" allowOverlap="1">
          <wp:simplePos x="0" y="0"/>
          <wp:positionH relativeFrom="column">
            <wp:posOffset>50800</wp:posOffset>
          </wp:positionH>
          <wp:positionV relativeFrom="paragraph">
            <wp:posOffset>-61595</wp:posOffset>
          </wp:positionV>
          <wp:extent cx="287020" cy="287020"/>
          <wp:effectExtent l="0" t="0" r="17780" b="17780"/>
          <wp:wrapNone/>
          <wp:docPr id="41" name="图片 41" descr="邵阳职业技术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邵阳职业技术学院"/>
                  <pic:cNvPicPr>
                    <a:picLocks noChangeAspect="1"/>
                  </pic:cNvPicPr>
                </pic:nvPicPr>
                <pic:blipFill>
                  <a:blip r:embed="rId2"/>
                  <a:stretch>
                    <a:fillRect/>
                  </a:stretch>
                </pic:blipFill>
                <pic:spPr>
                  <a:xfrm>
                    <a:off x="0" y="0"/>
                    <a:ext cx="287020" cy="287020"/>
                  </a:xfrm>
                  <a:prstGeom prst="rect">
                    <a:avLst/>
                  </a:prstGeom>
                </pic:spPr>
              </pic:pic>
            </a:graphicData>
          </a:graphic>
        </wp:anchor>
      </w:drawing>
    </w:r>
  </w:p>
  <w:p>
    <w:pPr>
      <w:pStyle w:val="5"/>
      <w:pBdr>
        <w:bottom w:val="none" w:color="auto" w:sz="0" w:space="0"/>
      </w:pBdr>
    </w:pPr>
    <w:r>
      <w:rPr>
        <w:rFonts w:hint="eastAsia"/>
        <w:u w:val="single"/>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3F9B7C"/>
    <w:multiLevelType w:val="singleLevel"/>
    <w:tmpl w:val="5A3F9B7C"/>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101B4B"/>
    <w:rsid w:val="001018A4"/>
    <w:rsid w:val="002A0108"/>
    <w:rsid w:val="003855B1"/>
    <w:rsid w:val="003B6EA5"/>
    <w:rsid w:val="004F5CE0"/>
    <w:rsid w:val="007022B5"/>
    <w:rsid w:val="008F3C19"/>
    <w:rsid w:val="008F7E25"/>
    <w:rsid w:val="00962945"/>
    <w:rsid w:val="00A36F0F"/>
    <w:rsid w:val="00B43C82"/>
    <w:rsid w:val="00B872ED"/>
    <w:rsid w:val="00B94330"/>
    <w:rsid w:val="00CD5A44"/>
    <w:rsid w:val="00CF2EF8"/>
    <w:rsid w:val="00F60E72"/>
    <w:rsid w:val="010C6489"/>
    <w:rsid w:val="010F25E4"/>
    <w:rsid w:val="01334101"/>
    <w:rsid w:val="015D5A44"/>
    <w:rsid w:val="018F4689"/>
    <w:rsid w:val="01985975"/>
    <w:rsid w:val="020A2B92"/>
    <w:rsid w:val="021D4E8B"/>
    <w:rsid w:val="022920CB"/>
    <w:rsid w:val="024D429E"/>
    <w:rsid w:val="02E266C3"/>
    <w:rsid w:val="03447C85"/>
    <w:rsid w:val="035763E7"/>
    <w:rsid w:val="03613794"/>
    <w:rsid w:val="03766603"/>
    <w:rsid w:val="037E105C"/>
    <w:rsid w:val="03A0093F"/>
    <w:rsid w:val="03FA74F2"/>
    <w:rsid w:val="04123940"/>
    <w:rsid w:val="049D58E1"/>
    <w:rsid w:val="049F5D8F"/>
    <w:rsid w:val="04B1548A"/>
    <w:rsid w:val="04BE06BF"/>
    <w:rsid w:val="05431D8E"/>
    <w:rsid w:val="057F70E3"/>
    <w:rsid w:val="05A5328A"/>
    <w:rsid w:val="05EC4E9F"/>
    <w:rsid w:val="05F56B99"/>
    <w:rsid w:val="0643796C"/>
    <w:rsid w:val="06663D72"/>
    <w:rsid w:val="06D10BD7"/>
    <w:rsid w:val="0706431A"/>
    <w:rsid w:val="073444CE"/>
    <w:rsid w:val="077A516D"/>
    <w:rsid w:val="081C6DDF"/>
    <w:rsid w:val="082F17E1"/>
    <w:rsid w:val="084432DE"/>
    <w:rsid w:val="08794206"/>
    <w:rsid w:val="087C7FB0"/>
    <w:rsid w:val="08FD3CED"/>
    <w:rsid w:val="090367F0"/>
    <w:rsid w:val="091F36E0"/>
    <w:rsid w:val="0940666B"/>
    <w:rsid w:val="09491648"/>
    <w:rsid w:val="096B6279"/>
    <w:rsid w:val="09A56B75"/>
    <w:rsid w:val="09F9476E"/>
    <w:rsid w:val="0A1527AF"/>
    <w:rsid w:val="0A1E36EA"/>
    <w:rsid w:val="0AA16D13"/>
    <w:rsid w:val="0AA27DE7"/>
    <w:rsid w:val="0ACF4CFF"/>
    <w:rsid w:val="0AD31089"/>
    <w:rsid w:val="0B4D44CA"/>
    <w:rsid w:val="0BBF091A"/>
    <w:rsid w:val="0BC623B2"/>
    <w:rsid w:val="0BEC70E1"/>
    <w:rsid w:val="0C020CD9"/>
    <w:rsid w:val="0CCC332C"/>
    <w:rsid w:val="0CF05CEA"/>
    <w:rsid w:val="0D0239EA"/>
    <w:rsid w:val="0D4B66ED"/>
    <w:rsid w:val="0D61387F"/>
    <w:rsid w:val="0D882A0D"/>
    <w:rsid w:val="0E7722E5"/>
    <w:rsid w:val="0E9216AE"/>
    <w:rsid w:val="0EBA1F7B"/>
    <w:rsid w:val="0EC34AD5"/>
    <w:rsid w:val="0EC776C9"/>
    <w:rsid w:val="0F6A772E"/>
    <w:rsid w:val="0FC94FB1"/>
    <w:rsid w:val="10160C5C"/>
    <w:rsid w:val="10204B6C"/>
    <w:rsid w:val="102130DF"/>
    <w:rsid w:val="103A452F"/>
    <w:rsid w:val="10EF60E8"/>
    <w:rsid w:val="11232740"/>
    <w:rsid w:val="11407E2F"/>
    <w:rsid w:val="11B41D75"/>
    <w:rsid w:val="12021299"/>
    <w:rsid w:val="126C3DAB"/>
    <w:rsid w:val="12B97BCC"/>
    <w:rsid w:val="138F0816"/>
    <w:rsid w:val="139B3E0E"/>
    <w:rsid w:val="139F335F"/>
    <w:rsid w:val="13A57608"/>
    <w:rsid w:val="13DB465C"/>
    <w:rsid w:val="1416587B"/>
    <w:rsid w:val="141A5312"/>
    <w:rsid w:val="146A18BF"/>
    <w:rsid w:val="14B67F07"/>
    <w:rsid w:val="14BA5C11"/>
    <w:rsid w:val="14C847A2"/>
    <w:rsid w:val="15103168"/>
    <w:rsid w:val="151F385A"/>
    <w:rsid w:val="15607636"/>
    <w:rsid w:val="15A02089"/>
    <w:rsid w:val="15F22220"/>
    <w:rsid w:val="1659043E"/>
    <w:rsid w:val="169738D3"/>
    <w:rsid w:val="16AD6F0A"/>
    <w:rsid w:val="16D516CF"/>
    <w:rsid w:val="174B55D5"/>
    <w:rsid w:val="177E2570"/>
    <w:rsid w:val="178773DD"/>
    <w:rsid w:val="17B44BF8"/>
    <w:rsid w:val="17D61D35"/>
    <w:rsid w:val="17DC00E9"/>
    <w:rsid w:val="17DC4104"/>
    <w:rsid w:val="184C3C48"/>
    <w:rsid w:val="184F107D"/>
    <w:rsid w:val="185B539F"/>
    <w:rsid w:val="18980661"/>
    <w:rsid w:val="189E2207"/>
    <w:rsid w:val="19101B4B"/>
    <w:rsid w:val="192423FC"/>
    <w:rsid w:val="195D7807"/>
    <w:rsid w:val="19CE606B"/>
    <w:rsid w:val="19F54999"/>
    <w:rsid w:val="1A0E3D21"/>
    <w:rsid w:val="1A3F5EE0"/>
    <w:rsid w:val="1AB07356"/>
    <w:rsid w:val="1AE85F5B"/>
    <w:rsid w:val="1AFE745D"/>
    <w:rsid w:val="1B3902A2"/>
    <w:rsid w:val="1B3D2964"/>
    <w:rsid w:val="1B5F6C0A"/>
    <w:rsid w:val="1B6536D9"/>
    <w:rsid w:val="1BA71006"/>
    <w:rsid w:val="1BB20FC9"/>
    <w:rsid w:val="1C1617F9"/>
    <w:rsid w:val="1C2F02B5"/>
    <w:rsid w:val="1C4F50F0"/>
    <w:rsid w:val="1C8230DA"/>
    <w:rsid w:val="1CC92722"/>
    <w:rsid w:val="1CD3430C"/>
    <w:rsid w:val="1CED7998"/>
    <w:rsid w:val="1CFD6D85"/>
    <w:rsid w:val="1D1F2E21"/>
    <w:rsid w:val="1D446349"/>
    <w:rsid w:val="1D811E3D"/>
    <w:rsid w:val="1DFE7407"/>
    <w:rsid w:val="1E394644"/>
    <w:rsid w:val="1E3B7DE8"/>
    <w:rsid w:val="1E406CE2"/>
    <w:rsid w:val="1E984409"/>
    <w:rsid w:val="1F8A66A3"/>
    <w:rsid w:val="1FB27DC5"/>
    <w:rsid w:val="1FD41F76"/>
    <w:rsid w:val="1FF05FC1"/>
    <w:rsid w:val="2017270A"/>
    <w:rsid w:val="201F2F6B"/>
    <w:rsid w:val="20634B54"/>
    <w:rsid w:val="20730506"/>
    <w:rsid w:val="20896DC3"/>
    <w:rsid w:val="20BE25CB"/>
    <w:rsid w:val="210F41DF"/>
    <w:rsid w:val="215064DE"/>
    <w:rsid w:val="218D349B"/>
    <w:rsid w:val="21955E17"/>
    <w:rsid w:val="219A1439"/>
    <w:rsid w:val="21A965DB"/>
    <w:rsid w:val="21C32138"/>
    <w:rsid w:val="21EB2A51"/>
    <w:rsid w:val="220E252B"/>
    <w:rsid w:val="224A079E"/>
    <w:rsid w:val="227758DC"/>
    <w:rsid w:val="229133D2"/>
    <w:rsid w:val="22A037FC"/>
    <w:rsid w:val="22D60F3A"/>
    <w:rsid w:val="2325485C"/>
    <w:rsid w:val="23446AAE"/>
    <w:rsid w:val="234B5785"/>
    <w:rsid w:val="236949B0"/>
    <w:rsid w:val="23C52969"/>
    <w:rsid w:val="23CD4FFB"/>
    <w:rsid w:val="246A451C"/>
    <w:rsid w:val="24A70525"/>
    <w:rsid w:val="24B977A7"/>
    <w:rsid w:val="25043335"/>
    <w:rsid w:val="251E7BD2"/>
    <w:rsid w:val="25506DAC"/>
    <w:rsid w:val="256B28BC"/>
    <w:rsid w:val="25BF6E32"/>
    <w:rsid w:val="25EC5871"/>
    <w:rsid w:val="25F81149"/>
    <w:rsid w:val="260D7963"/>
    <w:rsid w:val="267A1BC6"/>
    <w:rsid w:val="269B351B"/>
    <w:rsid w:val="26B73CB0"/>
    <w:rsid w:val="26DA2615"/>
    <w:rsid w:val="26E50E42"/>
    <w:rsid w:val="26ED2249"/>
    <w:rsid w:val="27277F45"/>
    <w:rsid w:val="27314485"/>
    <w:rsid w:val="276878EA"/>
    <w:rsid w:val="27697A51"/>
    <w:rsid w:val="27716208"/>
    <w:rsid w:val="27764579"/>
    <w:rsid w:val="27FA0885"/>
    <w:rsid w:val="283B5C5F"/>
    <w:rsid w:val="2863714C"/>
    <w:rsid w:val="288C33C2"/>
    <w:rsid w:val="28A76F18"/>
    <w:rsid w:val="2914003F"/>
    <w:rsid w:val="2926369E"/>
    <w:rsid w:val="292763E2"/>
    <w:rsid w:val="2A131615"/>
    <w:rsid w:val="2AA9576E"/>
    <w:rsid w:val="2ABE11CA"/>
    <w:rsid w:val="2AF660AE"/>
    <w:rsid w:val="2B360DC6"/>
    <w:rsid w:val="2B8A1DB9"/>
    <w:rsid w:val="2BD959EB"/>
    <w:rsid w:val="2C031C3C"/>
    <w:rsid w:val="2C252313"/>
    <w:rsid w:val="2C50415C"/>
    <w:rsid w:val="2C5F38C9"/>
    <w:rsid w:val="2CB609D9"/>
    <w:rsid w:val="2CEF7448"/>
    <w:rsid w:val="2D1A0E6B"/>
    <w:rsid w:val="2D2D50CC"/>
    <w:rsid w:val="2D6B1FA5"/>
    <w:rsid w:val="2D743ABE"/>
    <w:rsid w:val="2D8D6C9F"/>
    <w:rsid w:val="2DB12924"/>
    <w:rsid w:val="2E0C5B1D"/>
    <w:rsid w:val="2E2E64AF"/>
    <w:rsid w:val="2EBF5054"/>
    <w:rsid w:val="2F094E9D"/>
    <w:rsid w:val="2F3C07F9"/>
    <w:rsid w:val="2FDA561F"/>
    <w:rsid w:val="2FF61612"/>
    <w:rsid w:val="304542F7"/>
    <w:rsid w:val="30624E4E"/>
    <w:rsid w:val="306B3ECB"/>
    <w:rsid w:val="30703528"/>
    <w:rsid w:val="30D27444"/>
    <w:rsid w:val="30DA557B"/>
    <w:rsid w:val="30E300AD"/>
    <w:rsid w:val="30FF7D6A"/>
    <w:rsid w:val="310F7B77"/>
    <w:rsid w:val="3113473A"/>
    <w:rsid w:val="31236246"/>
    <w:rsid w:val="312B30D9"/>
    <w:rsid w:val="31820889"/>
    <w:rsid w:val="319F575F"/>
    <w:rsid w:val="31E56118"/>
    <w:rsid w:val="31FE4C69"/>
    <w:rsid w:val="32070A64"/>
    <w:rsid w:val="32186232"/>
    <w:rsid w:val="32331B8F"/>
    <w:rsid w:val="326172C6"/>
    <w:rsid w:val="32853124"/>
    <w:rsid w:val="32887C61"/>
    <w:rsid w:val="32B70A43"/>
    <w:rsid w:val="32EA238F"/>
    <w:rsid w:val="33295A3E"/>
    <w:rsid w:val="335A5F6F"/>
    <w:rsid w:val="336872D2"/>
    <w:rsid w:val="338E2169"/>
    <w:rsid w:val="33A82DC8"/>
    <w:rsid w:val="33EA5504"/>
    <w:rsid w:val="33EF7C56"/>
    <w:rsid w:val="33F019C0"/>
    <w:rsid w:val="33FD4D3B"/>
    <w:rsid w:val="340C2700"/>
    <w:rsid w:val="34115821"/>
    <w:rsid w:val="34304F2C"/>
    <w:rsid w:val="34527CBB"/>
    <w:rsid w:val="346A4BB3"/>
    <w:rsid w:val="34743C93"/>
    <w:rsid w:val="349A2537"/>
    <w:rsid w:val="34A8260F"/>
    <w:rsid w:val="34C85070"/>
    <w:rsid w:val="34DB0275"/>
    <w:rsid w:val="3542217B"/>
    <w:rsid w:val="35C851A0"/>
    <w:rsid w:val="364D3532"/>
    <w:rsid w:val="36AD5797"/>
    <w:rsid w:val="36FB6481"/>
    <w:rsid w:val="372571E4"/>
    <w:rsid w:val="37717D0A"/>
    <w:rsid w:val="37C21495"/>
    <w:rsid w:val="386D3163"/>
    <w:rsid w:val="38B0224B"/>
    <w:rsid w:val="38BC2067"/>
    <w:rsid w:val="38F0672A"/>
    <w:rsid w:val="394F1207"/>
    <w:rsid w:val="39A479F8"/>
    <w:rsid w:val="39B86E16"/>
    <w:rsid w:val="39E95706"/>
    <w:rsid w:val="39F728FB"/>
    <w:rsid w:val="3A580F1B"/>
    <w:rsid w:val="3AA054D1"/>
    <w:rsid w:val="3B471D94"/>
    <w:rsid w:val="3B515759"/>
    <w:rsid w:val="3B6F401A"/>
    <w:rsid w:val="3B800528"/>
    <w:rsid w:val="3BB3269C"/>
    <w:rsid w:val="3BDE4B43"/>
    <w:rsid w:val="3C040DBB"/>
    <w:rsid w:val="3C112E8B"/>
    <w:rsid w:val="3C805092"/>
    <w:rsid w:val="3CF314BE"/>
    <w:rsid w:val="3CFB7078"/>
    <w:rsid w:val="3D0F3C70"/>
    <w:rsid w:val="3D872402"/>
    <w:rsid w:val="3DB0783B"/>
    <w:rsid w:val="3E217254"/>
    <w:rsid w:val="3E462471"/>
    <w:rsid w:val="3E637614"/>
    <w:rsid w:val="3E767A9E"/>
    <w:rsid w:val="3E8209FF"/>
    <w:rsid w:val="3E93744E"/>
    <w:rsid w:val="3EB84B97"/>
    <w:rsid w:val="3EE535C5"/>
    <w:rsid w:val="3F0858B2"/>
    <w:rsid w:val="3FB01976"/>
    <w:rsid w:val="404F7FBF"/>
    <w:rsid w:val="406E353D"/>
    <w:rsid w:val="407714E0"/>
    <w:rsid w:val="40AE3032"/>
    <w:rsid w:val="40D200C4"/>
    <w:rsid w:val="41255D47"/>
    <w:rsid w:val="42D21309"/>
    <w:rsid w:val="42D83FA7"/>
    <w:rsid w:val="42E60FA0"/>
    <w:rsid w:val="43383ED0"/>
    <w:rsid w:val="434D447A"/>
    <w:rsid w:val="438738AA"/>
    <w:rsid w:val="43A45FAA"/>
    <w:rsid w:val="44531973"/>
    <w:rsid w:val="44B6351B"/>
    <w:rsid w:val="44FC75E0"/>
    <w:rsid w:val="450D2D51"/>
    <w:rsid w:val="45125350"/>
    <w:rsid w:val="45415F50"/>
    <w:rsid w:val="45792119"/>
    <w:rsid w:val="458811BA"/>
    <w:rsid w:val="45886D3C"/>
    <w:rsid w:val="45AD5E4C"/>
    <w:rsid w:val="45D63C83"/>
    <w:rsid w:val="45EB0F14"/>
    <w:rsid w:val="462035A9"/>
    <w:rsid w:val="466F27FF"/>
    <w:rsid w:val="46DE5D44"/>
    <w:rsid w:val="46EB2C56"/>
    <w:rsid w:val="471E1653"/>
    <w:rsid w:val="47492C45"/>
    <w:rsid w:val="475416A0"/>
    <w:rsid w:val="47712F39"/>
    <w:rsid w:val="477B519C"/>
    <w:rsid w:val="484D0A46"/>
    <w:rsid w:val="489B1EC0"/>
    <w:rsid w:val="49523B05"/>
    <w:rsid w:val="49BF1985"/>
    <w:rsid w:val="49D904DC"/>
    <w:rsid w:val="4A133A39"/>
    <w:rsid w:val="4A9A4A07"/>
    <w:rsid w:val="4B0015F4"/>
    <w:rsid w:val="4B2169F4"/>
    <w:rsid w:val="4B264116"/>
    <w:rsid w:val="4B2F454A"/>
    <w:rsid w:val="4B600D00"/>
    <w:rsid w:val="4B7E4430"/>
    <w:rsid w:val="4B9E6507"/>
    <w:rsid w:val="4BC72423"/>
    <w:rsid w:val="4BCE5282"/>
    <w:rsid w:val="4C0621FF"/>
    <w:rsid w:val="4C0C65E6"/>
    <w:rsid w:val="4C105852"/>
    <w:rsid w:val="4C177A68"/>
    <w:rsid w:val="4C9B10D4"/>
    <w:rsid w:val="4CD72760"/>
    <w:rsid w:val="4CF43687"/>
    <w:rsid w:val="4CFC7F99"/>
    <w:rsid w:val="4D231BA3"/>
    <w:rsid w:val="4D261DF8"/>
    <w:rsid w:val="4D915723"/>
    <w:rsid w:val="4DB722EC"/>
    <w:rsid w:val="4E170BBF"/>
    <w:rsid w:val="4E2A5254"/>
    <w:rsid w:val="4F1D21D1"/>
    <w:rsid w:val="4F8051FF"/>
    <w:rsid w:val="4FB10D36"/>
    <w:rsid w:val="4FC35EB9"/>
    <w:rsid w:val="4FD75AD6"/>
    <w:rsid w:val="50150299"/>
    <w:rsid w:val="50191B4A"/>
    <w:rsid w:val="50996FF1"/>
    <w:rsid w:val="51327075"/>
    <w:rsid w:val="513572B1"/>
    <w:rsid w:val="51BC54A1"/>
    <w:rsid w:val="51C20618"/>
    <w:rsid w:val="51D641F7"/>
    <w:rsid w:val="51D75F7D"/>
    <w:rsid w:val="520C792D"/>
    <w:rsid w:val="5250302E"/>
    <w:rsid w:val="52836C32"/>
    <w:rsid w:val="52BA70D0"/>
    <w:rsid w:val="52E15EA3"/>
    <w:rsid w:val="52FF4352"/>
    <w:rsid w:val="5331209A"/>
    <w:rsid w:val="5359728F"/>
    <w:rsid w:val="535C6F88"/>
    <w:rsid w:val="5361080B"/>
    <w:rsid w:val="53726516"/>
    <w:rsid w:val="538B7C06"/>
    <w:rsid w:val="53CC321A"/>
    <w:rsid w:val="5420652F"/>
    <w:rsid w:val="543E699C"/>
    <w:rsid w:val="54494ED4"/>
    <w:rsid w:val="54A16F5F"/>
    <w:rsid w:val="54BD7CA1"/>
    <w:rsid w:val="54D6155A"/>
    <w:rsid w:val="55085159"/>
    <w:rsid w:val="55106D40"/>
    <w:rsid w:val="555602C7"/>
    <w:rsid w:val="557B1B54"/>
    <w:rsid w:val="56047236"/>
    <w:rsid w:val="56472126"/>
    <w:rsid w:val="56701EC2"/>
    <w:rsid w:val="5675378F"/>
    <w:rsid w:val="5693703F"/>
    <w:rsid w:val="57295F6D"/>
    <w:rsid w:val="57A62213"/>
    <w:rsid w:val="57F25AAB"/>
    <w:rsid w:val="580347D6"/>
    <w:rsid w:val="580F04AD"/>
    <w:rsid w:val="5821549D"/>
    <w:rsid w:val="583B75DB"/>
    <w:rsid w:val="586D01BC"/>
    <w:rsid w:val="58FD3B98"/>
    <w:rsid w:val="59330C21"/>
    <w:rsid w:val="59754A71"/>
    <w:rsid w:val="59936990"/>
    <w:rsid w:val="59B502C9"/>
    <w:rsid w:val="59B8085F"/>
    <w:rsid w:val="5A013199"/>
    <w:rsid w:val="5A460EDE"/>
    <w:rsid w:val="5A930250"/>
    <w:rsid w:val="5AC81BC3"/>
    <w:rsid w:val="5AEC655C"/>
    <w:rsid w:val="5B251F36"/>
    <w:rsid w:val="5B3425B0"/>
    <w:rsid w:val="5B34315B"/>
    <w:rsid w:val="5BC92D3C"/>
    <w:rsid w:val="5BD53111"/>
    <w:rsid w:val="5BD61FAE"/>
    <w:rsid w:val="5BFF0A5B"/>
    <w:rsid w:val="5C7B16D7"/>
    <w:rsid w:val="5D2E047F"/>
    <w:rsid w:val="5D3D25F8"/>
    <w:rsid w:val="5D4719B5"/>
    <w:rsid w:val="5D491BFE"/>
    <w:rsid w:val="5D860399"/>
    <w:rsid w:val="5E134947"/>
    <w:rsid w:val="5E756A75"/>
    <w:rsid w:val="5EED602A"/>
    <w:rsid w:val="5F2014CE"/>
    <w:rsid w:val="5F3D0A45"/>
    <w:rsid w:val="5F854144"/>
    <w:rsid w:val="5FBD3FC4"/>
    <w:rsid w:val="5FD91500"/>
    <w:rsid w:val="6036153E"/>
    <w:rsid w:val="60D3495F"/>
    <w:rsid w:val="61226B25"/>
    <w:rsid w:val="617D4050"/>
    <w:rsid w:val="61844081"/>
    <w:rsid w:val="618B303B"/>
    <w:rsid w:val="61E61142"/>
    <w:rsid w:val="61F054D4"/>
    <w:rsid w:val="61F20491"/>
    <w:rsid w:val="623B2BCC"/>
    <w:rsid w:val="62592A7A"/>
    <w:rsid w:val="627559EA"/>
    <w:rsid w:val="62AA7BA7"/>
    <w:rsid w:val="632C0F24"/>
    <w:rsid w:val="638C0F7D"/>
    <w:rsid w:val="63DF209A"/>
    <w:rsid w:val="63E7697B"/>
    <w:rsid w:val="63EF750E"/>
    <w:rsid w:val="644F3E2F"/>
    <w:rsid w:val="64645046"/>
    <w:rsid w:val="646B0EA5"/>
    <w:rsid w:val="64761B13"/>
    <w:rsid w:val="6481388C"/>
    <w:rsid w:val="64957755"/>
    <w:rsid w:val="64E4400D"/>
    <w:rsid w:val="65204B05"/>
    <w:rsid w:val="654C79E2"/>
    <w:rsid w:val="65522F49"/>
    <w:rsid w:val="655E6702"/>
    <w:rsid w:val="65C33655"/>
    <w:rsid w:val="660C7B1C"/>
    <w:rsid w:val="66674027"/>
    <w:rsid w:val="66EB5327"/>
    <w:rsid w:val="676F361E"/>
    <w:rsid w:val="67945028"/>
    <w:rsid w:val="67DE3984"/>
    <w:rsid w:val="686643C4"/>
    <w:rsid w:val="68F35034"/>
    <w:rsid w:val="69627111"/>
    <w:rsid w:val="698A1CB2"/>
    <w:rsid w:val="69C202B4"/>
    <w:rsid w:val="6A6219D1"/>
    <w:rsid w:val="6AA74093"/>
    <w:rsid w:val="6ABC2245"/>
    <w:rsid w:val="6AE475D3"/>
    <w:rsid w:val="6B197962"/>
    <w:rsid w:val="6B1B06C6"/>
    <w:rsid w:val="6B1C575D"/>
    <w:rsid w:val="6B544092"/>
    <w:rsid w:val="6B827A7E"/>
    <w:rsid w:val="6BFA7133"/>
    <w:rsid w:val="6C2715E3"/>
    <w:rsid w:val="6C315C56"/>
    <w:rsid w:val="6C43585A"/>
    <w:rsid w:val="6C666839"/>
    <w:rsid w:val="6CB26FAF"/>
    <w:rsid w:val="6CD25B1F"/>
    <w:rsid w:val="6CFF3D33"/>
    <w:rsid w:val="6D6D0821"/>
    <w:rsid w:val="6D9D5A04"/>
    <w:rsid w:val="6DA3682B"/>
    <w:rsid w:val="6DC10513"/>
    <w:rsid w:val="6DD10B6A"/>
    <w:rsid w:val="6DE765A5"/>
    <w:rsid w:val="6E7922CA"/>
    <w:rsid w:val="6EE564CA"/>
    <w:rsid w:val="6F0F6E8E"/>
    <w:rsid w:val="6FBD3DD5"/>
    <w:rsid w:val="6FC6036F"/>
    <w:rsid w:val="70051F2A"/>
    <w:rsid w:val="70224A82"/>
    <w:rsid w:val="704C21A6"/>
    <w:rsid w:val="70B04EFF"/>
    <w:rsid w:val="70BE5289"/>
    <w:rsid w:val="70CA7319"/>
    <w:rsid w:val="71227E9F"/>
    <w:rsid w:val="7162476F"/>
    <w:rsid w:val="71817B8F"/>
    <w:rsid w:val="718A49BD"/>
    <w:rsid w:val="71CB52CF"/>
    <w:rsid w:val="71D347E7"/>
    <w:rsid w:val="71EB03F6"/>
    <w:rsid w:val="722F6D6E"/>
    <w:rsid w:val="72320873"/>
    <w:rsid w:val="72420AB5"/>
    <w:rsid w:val="72705F2C"/>
    <w:rsid w:val="7271740B"/>
    <w:rsid w:val="72913A71"/>
    <w:rsid w:val="729F3F07"/>
    <w:rsid w:val="72CB1280"/>
    <w:rsid w:val="72EB640E"/>
    <w:rsid w:val="739651D5"/>
    <w:rsid w:val="73970B8B"/>
    <w:rsid w:val="73C85137"/>
    <w:rsid w:val="73D7464D"/>
    <w:rsid w:val="73F00CDA"/>
    <w:rsid w:val="73F9531F"/>
    <w:rsid w:val="74093F32"/>
    <w:rsid w:val="74692412"/>
    <w:rsid w:val="7492037D"/>
    <w:rsid w:val="74CE4487"/>
    <w:rsid w:val="7542241D"/>
    <w:rsid w:val="7560689F"/>
    <w:rsid w:val="758D03DC"/>
    <w:rsid w:val="75D25BA7"/>
    <w:rsid w:val="76095245"/>
    <w:rsid w:val="76231F6F"/>
    <w:rsid w:val="763A5F1D"/>
    <w:rsid w:val="76776871"/>
    <w:rsid w:val="77786A6D"/>
    <w:rsid w:val="77D36EB5"/>
    <w:rsid w:val="77EE5D2E"/>
    <w:rsid w:val="7815295D"/>
    <w:rsid w:val="784010F2"/>
    <w:rsid w:val="7849790D"/>
    <w:rsid w:val="78726DA6"/>
    <w:rsid w:val="78911338"/>
    <w:rsid w:val="798745F2"/>
    <w:rsid w:val="79DB1EFB"/>
    <w:rsid w:val="7A001209"/>
    <w:rsid w:val="7A7668F6"/>
    <w:rsid w:val="7AF208F8"/>
    <w:rsid w:val="7AF712F0"/>
    <w:rsid w:val="7B1954F8"/>
    <w:rsid w:val="7B351CC8"/>
    <w:rsid w:val="7B6D0565"/>
    <w:rsid w:val="7B98366D"/>
    <w:rsid w:val="7BAD2814"/>
    <w:rsid w:val="7BF85C81"/>
    <w:rsid w:val="7C451D87"/>
    <w:rsid w:val="7C8D09EF"/>
    <w:rsid w:val="7C97114C"/>
    <w:rsid w:val="7CA14A1F"/>
    <w:rsid w:val="7CC548A4"/>
    <w:rsid w:val="7CC84CCC"/>
    <w:rsid w:val="7D4261AD"/>
    <w:rsid w:val="7D785D6F"/>
    <w:rsid w:val="7DCB4CA4"/>
    <w:rsid w:val="7DEF27F0"/>
    <w:rsid w:val="7E0704AC"/>
    <w:rsid w:val="7E2025E7"/>
    <w:rsid w:val="7EF51D54"/>
    <w:rsid w:val="7F010408"/>
    <w:rsid w:val="7F166A2D"/>
    <w:rsid w:val="7F3B6685"/>
    <w:rsid w:val="7FCA08B3"/>
    <w:rsid w:val="7FFE6E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styleId="2">
    <w:name w:val="heading 2"/>
    <w:basedOn w:val="1"/>
    <w:next w:val="1"/>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7">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0"/>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Autospacing="1" w:afterAutospacing="1"/>
      <w:jc w:val="left"/>
    </w:pPr>
    <w:rPr>
      <w:rFonts w:cs="Times New Roman"/>
      <w:kern w:val="0"/>
      <w:sz w:val="24"/>
    </w:rPr>
  </w:style>
  <w:style w:type="table" w:styleId="9">
    <w:name w:val="Table Grid"/>
    <w:basedOn w:val="8"/>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0">
    <w:name w:val="批注框文本 Char"/>
    <w:basedOn w:val="7"/>
    <w:link w:val="3"/>
    <w:qFormat/>
    <w:uiPriority w:val="0"/>
    <w:rPr>
      <w:kern w:val="2"/>
      <w:sz w:val="18"/>
      <w:szCs w:val="18"/>
    </w:rPr>
  </w:style>
  <w:style w:type="paragraph" w:customStyle="1" w:styleId="11">
    <w:name w:val="WPSOffice手动目录 1"/>
    <w:qFormat/>
    <w:uiPriority w:val="0"/>
    <w:rPr>
      <w:rFonts w:ascii="Times New Roman" w:hAnsi="Times New Roman" w:eastAsia="宋体" w:cs="Times New Roman"/>
      <w:lang w:val="en-US" w:eastAsia="zh-CN" w:bidi="ar-SA"/>
    </w:rPr>
  </w:style>
  <w:style w:type="paragraph" w:customStyle="1" w:styleId="12">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7" Type="http://schemas.openxmlformats.org/officeDocument/2006/relationships/glossaryDocument" Target="glossary/document.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0.jpeg"/><Relationship Id="rId52" Type="http://schemas.openxmlformats.org/officeDocument/2006/relationships/image" Target="media/image39.png"/><Relationship Id="rId51" Type="http://schemas.openxmlformats.org/officeDocument/2006/relationships/image" Target="media/image38.jpeg"/><Relationship Id="rId50" Type="http://schemas.openxmlformats.org/officeDocument/2006/relationships/image" Target="media/image37.jpeg"/><Relationship Id="rId5" Type="http://schemas.openxmlformats.org/officeDocument/2006/relationships/header" Target="header3.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jpeg"/><Relationship Id="rId46" Type="http://schemas.openxmlformats.org/officeDocument/2006/relationships/image" Target="media/image33.jpeg"/><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pn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header" Target="header2.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NULL"/><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chart" Target="charts/chart5.xml"/><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H:\&#24180;&#24230;&#36136;&#37327;&#25253;&#21578;\2018&#36136;&#37327;&#24180;&#25253;13\&#36136;&#37327;&#25351;&#26631;.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H:\&#24180;&#24230;&#36136;&#37327;&#25253;&#21578;\2018&#36136;&#37327;&#24180;&#25253;13\&#36136;&#37327;&#25351;&#26631;.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H:\&#24180;&#24230;&#36136;&#37327;&#25253;&#21578;\2018&#36136;&#37327;&#24180;&#25253;13\&#36136;&#37327;&#25351;&#26631;.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H:\&#24180;&#24230;&#36136;&#37327;&#25253;&#21578;\2018&#36136;&#37327;&#24180;&#25253;13\&#36136;&#37327;&#25351;&#26631;.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H:\&#24180;&#24230;&#36136;&#37327;&#25253;&#21578;\2018&#36136;&#37327;&#24180;&#25253;13\&#36136;&#37327;&#25351;&#2663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[质量指标.xlsx]就业率!$A$2</c:f>
              <c:strCache>
                <c:ptCount val="1"/>
                <c:pt idx="0">
                  <c:v>就业率（%）</c:v>
                </c:pt>
              </c:strCache>
            </c:strRef>
          </c:tx>
          <c:spPr>
            <a:solidFill>
              <a:schemeClr val="accent1"/>
            </a:solidFill>
            <a:ln>
              <a:noFill/>
            </a:ln>
            <a:effectLst/>
          </c:spPr>
          <c:invertIfNegative val="0"/>
          <c:dLbls>
            <c:delete val="1"/>
          </c:dLbls>
          <c:cat>
            <c:strRef>
              <c:f>[质量指标.xlsx]就业率!$B$1:$F$1</c:f>
              <c:strCache>
                <c:ptCount val="5"/>
                <c:pt idx="0">
                  <c:v>2013年</c:v>
                </c:pt>
                <c:pt idx="1">
                  <c:v>2014年</c:v>
                </c:pt>
                <c:pt idx="2">
                  <c:v>2015年</c:v>
                </c:pt>
                <c:pt idx="3">
                  <c:v>2016年</c:v>
                </c:pt>
                <c:pt idx="4">
                  <c:v>2017年</c:v>
                </c:pt>
              </c:strCache>
            </c:strRef>
          </c:cat>
          <c:val>
            <c:numRef>
              <c:f>[质量指标.xlsx]就业率!$B$2:$F$2</c:f>
              <c:numCache>
                <c:formatCode>0.00%</c:formatCode>
                <c:ptCount val="5"/>
                <c:pt idx="0">
                  <c:v>0.903</c:v>
                </c:pt>
                <c:pt idx="1">
                  <c:v>0.905</c:v>
                </c:pt>
                <c:pt idx="2">
                  <c:v>0.9271</c:v>
                </c:pt>
                <c:pt idx="3">
                  <c:v>0.9448</c:v>
                </c:pt>
                <c:pt idx="4" c:formatCode="0%">
                  <c:v>0.9401</c:v>
                </c:pt>
              </c:numCache>
            </c:numRef>
          </c:val>
        </c:ser>
        <c:dLbls>
          <c:showLegendKey val="0"/>
          <c:showVal val="0"/>
          <c:showCatName val="0"/>
          <c:showSerName val="0"/>
          <c:showPercent val="0"/>
          <c:showBubbleSize val="0"/>
        </c:dLbls>
        <c:gapWidth val="219"/>
        <c:overlap val="-27"/>
        <c:axId val="346519424"/>
        <c:axId val="346520960"/>
      </c:barChart>
      <c:catAx>
        <c:axId val="34651942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6520960"/>
        <c:crosses val="autoZero"/>
        <c:auto val="1"/>
        <c:lblAlgn val="ctr"/>
        <c:lblOffset val="100"/>
        <c:noMultiLvlLbl val="0"/>
      </c:catAx>
      <c:valAx>
        <c:axId val="346520960"/>
        <c:scaling>
          <c:orientation val="minMax"/>
          <c:min val="0.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6519424"/>
        <c:crosses val="autoZero"/>
        <c:crossBetween val="between"/>
      </c:valAx>
      <c:spPr>
        <a:noFill/>
        <a:ln>
          <a:noFill/>
        </a:ln>
        <a:effectLst/>
      </c:spPr>
    </c:plotArea>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[质量指标.xlsx]就业满意度!$A$2</c:f>
              <c:strCache>
                <c:ptCount val="1"/>
                <c:pt idx="0">
                  <c:v>母校满意度</c:v>
                </c:pt>
              </c:strCache>
            </c:strRef>
          </c:tx>
          <c:spPr>
            <a:ln w="28575" cap="rnd">
              <a:solidFill>
                <a:schemeClr val="accent1"/>
              </a:solidFill>
              <a:round/>
            </a:ln>
            <a:effectLst/>
          </c:spPr>
          <c:marker>
            <c:symbol val="none"/>
          </c:marker>
          <c:dLbls>
            <c:delete val="1"/>
          </c:dLbls>
          <c:cat>
            <c:strRef>
              <c:f>[质量指标.xlsx]就业满意度!$B$1:$F$1</c:f>
              <c:strCache>
                <c:ptCount val="5"/>
                <c:pt idx="0">
                  <c:v>2013年</c:v>
                </c:pt>
                <c:pt idx="1">
                  <c:v>2014年</c:v>
                </c:pt>
                <c:pt idx="2">
                  <c:v>2015年</c:v>
                </c:pt>
                <c:pt idx="3">
                  <c:v>2016年</c:v>
                </c:pt>
                <c:pt idx="4">
                  <c:v>2017年</c:v>
                </c:pt>
              </c:strCache>
            </c:strRef>
          </c:cat>
          <c:val>
            <c:numRef>
              <c:f>[质量指标.xlsx]就业满意度!$B$2:$F$2</c:f>
              <c:numCache>
                <c:formatCode>General</c:formatCode>
                <c:ptCount val="5"/>
                <c:pt idx="0">
                  <c:v>93.5</c:v>
                </c:pt>
                <c:pt idx="1">
                  <c:v>95</c:v>
                </c:pt>
                <c:pt idx="2">
                  <c:v>96</c:v>
                </c:pt>
                <c:pt idx="3">
                  <c:v>93</c:v>
                </c:pt>
                <c:pt idx="4">
                  <c:v>94</c:v>
                </c:pt>
              </c:numCache>
            </c:numRef>
          </c:val>
          <c:smooth val="0"/>
        </c:ser>
        <c:ser>
          <c:idx val="1"/>
          <c:order val="1"/>
          <c:tx>
            <c:strRef>
              <c:f>[质量指标.xlsx]就业满意度!$A$3</c:f>
              <c:strCache>
                <c:ptCount val="1"/>
                <c:pt idx="0">
                  <c:v>雇主满意度</c:v>
                </c:pt>
              </c:strCache>
            </c:strRef>
          </c:tx>
          <c:spPr>
            <a:ln w="28575" cap="rnd">
              <a:solidFill>
                <a:schemeClr val="accent2"/>
              </a:solidFill>
              <a:round/>
            </a:ln>
            <a:effectLst/>
          </c:spPr>
          <c:marker>
            <c:symbol val="none"/>
          </c:marker>
          <c:dLbls>
            <c:delete val="1"/>
          </c:dLbls>
          <c:cat>
            <c:strRef>
              <c:f>[质量指标.xlsx]就业满意度!$B$1:$F$1</c:f>
              <c:strCache>
                <c:ptCount val="5"/>
                <c:pt idx="0">
                  <c:v>2013年</c:v>
                </c:pt>
                <c:pt idx="1">
                  <c:v>2014年</c:v>
                </c:pt>
                <c:pt idx="2">
                  <c:v>2015年</c:v>
                </c:pt>
                <c:pt idx="3">
                  <c:v>2016年</c:v>
                </c:pt>
                <c:pt idx="4">
                  <c:v>2017年</c:v>
                </c:pt>
              </c:strCache>
            </c:strRef>
          </c:cat>
          <c:val>
            <c:numRef>
              <c:f>[质量指标.xlsx]就业满意度!$B$3:$F$3</c:f>
              <c:numCache>
                <c:formatCode>General</c:formatCode>
                <c:ptCount val="5"/>
                <c:pt idx="0">
                  <c:v>94</c:v>
                </c:pt>
                <c:pt idx="1">
                  <c:v>94.8</c:v>
                </c:pt>
                <c:pt idx="2">
                  <c:v>90.7</c:v>
                </c:pt>
                <c:pt idx="3">
                  <c:v>91</c:v>
                </c:pt>
                <c:pt idx="4">
                  <c:v>96</c:v>
                </c:pt>
              </c:numCache>
            </c:numRef>
          </c:val>
          <c:smooth val="0"/>
        </c:ser>
        <c:dLbls>
          <c:showLegendKey val="0"/>
          <c:showVal val="0"/>
          <c:showCatName val="0"/>
          <c:showSerName val="0"/>
          <c:showPercent val="0"/>
          <c:showBubbleSize val="0"/>
        </c:dLbls>
        <c:marker val="0"/>
        <c:smooth val="0"/>
        <c:axId val="346536960"/>
        <c:axId val="346546944"/>
      </c:lineChart>
      <c:catAx>
        <c:axId val="3465369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6546944"/>
        <c:crosses val="autoZero"/>
        <c:auto val="1"/>
        <c:lblAlgn val="ctr"/>
        <c:lblOffset val="100"/>
        <c:noMultiLvlLbl val="0"/>
      </c:catAx>
      <c:valAx>
        <c:axId val="346546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653696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单位：元</a:t>
            </a:r>
            <a:endParaRPr lang="zh-CN" altLang="en-US"/>
          </a:p>
        </c:rich>
      </c:tx>
      <c:layout>
        <c:manualLayout>
          <c:xMode val="edge"/>
          <c:yMode val="edge"/>
          <c:x val="0.749861111111111"/>
          <c:y val="0.0381944444444444"/>
        </c:manualLayout>
      </c:layout>
      <c:overlay val="0"/>
      <c:spPr>
        <a:noFill/>
        <a:ln>
          <a:noFill/>
        </a:ln>
        <a:effectLst/>
      </c:spPr>
    </c:title>
    <c:autoTitleDeleted val="0"/>
    <c:plotArea>
      <c:layout/>
      <c:lineChart>
        <c:grouping val="stacked"/>
        <c:varyColors val="0"/>
        <c:ser>
          <c:idx val="0"/>
          <c:order val="0"/>
          <c:tx>
            <c:strRef>
              <c:f>[质量指标.xlsx]月收入!$A$2</c:f>
              <c:strCache>
                <c:ptCount val="1"/>
                <c:pt idx="0">
                  <c:v>月收入（元）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[质量指标.xlsx]月收入!$B$1:$F$1</c:f>
              <c:strCache>
                <c:ptCount val="5"/>
                <c:pt idx="0">
                  <c:v>2013届</c:v>
                </c:pt>
                <c:pt idx="1">
                  <c:v>2014届</c:v>
                </c:pt>
                <c:pt idx="2">
                  <c:v>2015届</c:v>
                </c:pt>
                <c:pt idx="3">
                  <c:v>2016届</c:v>
                </c:pt>
                <c:pt idx="4">
                  <c:v>2017届</c:v>
                </c:pt>
              </c:strCache>
            </c:strRef>
          </c:cat>
          <c:val>
            <c:numRef>
              <c:f>[质量指标.xlsx]月收入!$B$2:$F$2</c:f>
              <c:numCache>
                <c:formatCode>General</c:formatCode>
                <c:ptCount val="5"/>
                <c:pt idx="0">
                  <c:v>2550</c:v>
                </c:pt>
                <c:pt idx="1">
                  <c:v>2445</c:v>
                </c:pt>
                <c:pt idx="2">
                  <c:v>2392</c:v>
                </c:pt>
                <c:pt idx="3">
                  <c:v>3200</c:v>
                </c:pt>
                <c:pt idx="4">
                  <c:v>3600</c:v>
                </c:pt>
              </c:numCache>
            </c:numRef>
          </c:val>
          <c:smooth val="0"/>
        </c:ser>
        <c:dLbls>
          <c:showLegendKey val="0"/>
          <c:showVal val="0"/>
          <c:showCatName val="0"/>
          <c:showSerName val="0"/>
          <c:showPercent val="0"/>
          <c:showBubbleSize val="0"/>
        </c:dLbls>
        <c:marker val="1"/>
        <c:smooth val="0"/>
        <c:axId val="346238976"/>
        <c:axId val="346240896"/>
      </c:lineChart>
      <c:catAx>
        <c:axId val="34623897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6240896"/>
        <c:crosses val="autoZero"/>
        <c:auto val="1"/>
        <c:lblAlgn val="ctr"/>
        <c:lblOffset val="100"/>
        <c:noMultiLvlLbl val="0"/>
      </c:catAx>
      <c:valAx>
        <c:axId val="346240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623897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sz="1200" b="1">
                <a:latin typeface="仿宋" panose="02010609060101010101" pitchFamily="3" charset="-122"/>
                <a:ea typeface="仿宋" panose="02010609060101010101" pitchFamily="3" charset="-122"/>
              </a:rPr>
              <a:t>单位：（元）</a:t>
            </a:r>
            <a:endParaRPr lang="zh-CN" altLang="en-US" sz="1200" b="1">
              <a:latin typeface="仿宋" panose="02010609060101010101" pitchFamily="3" charset="-122"/>
              <a:ea typeface="仿宋" panose="02010609060101010101" pitchFamily="3" charset="-122"/>
            </a:endParaRPr>
          </a:p>
        </c:rich>
      </c:tx>
      <c:layout>
        <c:manualLayout>
          <c:xMode val="edge"/>
          <c:yMode val="edge"/>
          <c:x val="0.702638888888889"/>
          <c:y val="0.0520833333333333"/>
        </c:manualLayout>
      </c:layout>
      <c:overlay val="0"/>
      <c:spPr>
        <a:noFill/>
        <a:ln>
          <a:noFill/>
        </a:ln>
        <a:effectLst/>
      </c:spPr>
    </c:title>
    <c:autoTitleDeleted val="0"/>
    <c:plotArea>
      <c:layout/>
      <c:barChart>
        <c:barDir val="col"/>
        <c:grouping val="clustered"/>
        <c:varyColors val="0"/>
        <c:ser>
          <c:idx val="0"/>
          <c:order val="0"/>
          <c:tx>
            <c:strRef>
              <c:f>[质量指标.xlsx]月收入!$A$8</c:f>
              <c:strCache>
                <c:ptCount val="1"/>
                <c:pt idx="0">
                  <c:v>月收入（元）</c:v>
                </c:pt>
              </c:strCache>
            </c:strRef>
          </c:tx>
          <c:spPr>
            <a:solidFill>
              <a:schemeClr val="accent1"/>
            </a:solidFill>
            <a:ln>
              <a:noFill/>
            </a:ln>
            <a:effectLst/>
          </c:spPr>
          <c:invertIfNegative val="0"/>
          <c:dLbls>
            <c:delete val="1"/>
          </c:dLbls>
          <c:cat>
            <c:strRef>
              <c:f>[质量指标.xlsx]月收入!$B$7:$D$7</c:f>
              <c:strCache>
                <c:ptCount val="3"/>
                <c:pt idx="0">
                  <c:v>2012届</c:v>
                </c:pt>
                <c:pt idx="1">
                  <c:v>2013届</c:v>
                </c:pt>
                <c:pt idx="2">
                  <c:v>2014届</c:v>
                </c:pt>
              </c:strCache>
            </c:strRef>
          </c:cat>
          <c:val>
            <c:numRef>
              <c:f>[质量指标.xlsx]月收入!$B$8:$D$8</c:f>
              <c:numCache>
                <c:formatCode>General</c:formatCode>
                <c:ptCount val="3"/>
                <c:pt idx="0">
                  <c:v>3200</c:v>
                </c:pt>
                <c:pt idx="1">
                  <c:v>3300</c:v>
                </c:pt>
                <c:pt idx="2">
                  <c:v>4500</c:v>
                </c:pt>
              </c:numCache>
            </c:numRef>
          </c:val>
        </c:ser>
        <c:dLbls>
          <c:showLegendKey val="0"/>
          <c:showVal val="0"/>
          <c:showCatName val="0"/>
          <c:showSerName val="0"/>
          <c:showPercent val="0"/>
          <c:showBubbleSize val="0"/>
        </c:dLbls>
        <c:gapWidth val="219"/>
        <c:overlap val="-27"/>
        <c:axId val="346260992"/>
        <c:axId val="346262528"/>
      </c:barChart>
      <c:catAx>
        <c:axId val="34626099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6262528"/>
        <c:crosses val="autoZero"/>
        <c:auto val="1"/>
        <c:lblAlgn val="ctr"/>
        <c:lblOffset val="100"/>
        <c:noMultiLvlLbl val="0"/>
      </c:catAx>
      <c:valAx>
        <c:axId val="346262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6260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sz="1200" b="1"/>
              <a:t>单位：个</a:t>
            </a:r>
            <a:endParaRPr lang="zh-CN" altLang="en-US" sz="1200" b="1"/>
          </a:p>
        </c:rich>
      </c:tx>
      <c:layout>
        <c:manualLayout>
          <c:xMode val="edge"/>
          <c:yMode val="edge"/>
          <c:x val="0.785277777777778"/>
          <c:y val="0.0451388888888889"/>
        </c:manualLayout>
      </c:layout>
      <c:overlay val="0"/>
      <c:spPr>
        <a:noFill/>
        <a:ln>
          <a:noFill/>
        </a:ln>
        <a:effectLst/>
      </c:spPr>
    </c:title>
    <c:autoTitleDeleted val="0"/>
    <c:plotArea>
      <c:layout/>
      <c:barChart>
        <c:barDir val="col"/>
        <c:grouping val="clustered"/>
        <c:varyColors val="0"/>
        <c:ser>
          <c:idx val="0"/>
          <c:order val="0"/>
          <c:tx>
            <c:strRef>
              <c:f>[质量指标.xlsx]技能竞赛!$A$2</c:f>
              <c:strCache>
                <c:ptCount val="1"/>
                <c:pt idx="0">
                  <c:v>获奖数量</c:v>
                </c:pt>
              </c:strCache>
            </c:strRef>
          </c:tx>
          <c:spPr>
            <a:solidFill>
              <a:schemeClr val="accent1"/>
            </a:solidFill>
            <a:ln>
              <a:noFill/>
            </a:ln>
            <a:effectLst/>
          </c:spPr>
          <c:invertIfNegative val="0"/>
          <c:dLbls>
            <c:delete val="1"/>
          </c:dLbls>
          <c:cat>
            <c:strRef>
              <c:f>[质量指标.xlsx]技能竞赛!$B$1:$D$1</c:f>
              <c:strCache>
                <c:ptCount val="3"/>
                <c:pt idx="0">
                  <c:v>2015年</c:v>
                </c:pt>
                <c:pt idx="1">
                  <c:v>2016年</c:v>
                </c:pt>
                <c:pt idx="2">
                  <c:v>2017年</c:v>
                </c:pt>
              </c:strCache>
            </c:strRef>
          </c:cat>
          <c:val>
            <c:numRef>
              <c:f>[质量指标.xlsx]技能竞赛!$B$2:$D$2</c:f>
              <c:numCache>
                <c:formatCode>General</c:formatCode>
                <c:ptCount val="3"/>
                <c:pt idx="0">
                  <c:v>7</c:v>
                </c:pt>
                <c:pt idx="1">
                  <c:v>12</c:v>
                </c:pt>
                <c:pt idx="2">
                  <c:v>20</c:v>
                </c:pt>
              </c:numCache>
            </c:numRef>
          </c:val>
        </c:ser>
        <c:dLbls>
          <c:showLegendKey val="0"/>
          <c:showVal val="0"/>
          <c:showCatName val="0"/>
          <c:showSerName val="0"/>
          <c:showPercent val="0"/>
          <c:showBubbleSize val="0"/>
        </c:dLbls>
        <c:gapWidth val="219"/>
        <c:overlap val="-27"/>
        <c:axId val="348855296"/>
        <c:axId val="348869376"/>
      </c:barChart>
      <c:catAx>
        <c:axId val="34885529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8869376"/>
        <c:crosses val="autoZero"/>
        <c:auto val="1"/>
        <c:lblAlgn val="ctr"/>
        <c:lblOffset val="100"/>
        <c:noMultiLvlLbl val="0"/>
      </c:catAx>
      <c:valAx>
        <c:axId val="348869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8855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ad55eaf-58d5-462d-a85b-e9926838e566}"/>
        <w:style w:val=""/>
        <w:category>
          <w:name w:val="常规"/>
          <w:gallery w:val="placeholder"/>
        </w:category>
        <w:types>
          <w:type w:val="bbPlcHdr"/>
        </w:types>
        <w:behaviors>
          <w:behavior w:val="content"/>
        </w:behaviors>
        <w:description w:val=""/>
        <w:guid w:val="{5ad55eaf-58d5-462d-a85b-e9926838e566}"/>
      </w:docPartPr>
      <w:docPartBody>
        <w:p>
          <w:r>
            <w:rPr>
              <w:color w:val="808080"/>
            </w:rPr>
            <w:t>单击此处输入文字。</w:t>
          </w:r>
        </w:p>
      </w:docPartBody>
    </w:docPart>
    <w:docPart>
      <w:docPartPr>
        <w:name w:val="{2feab359-3532-405f-81c2-f04bfcb6d72d}"/>
        <w:style w:val=""/>
        <w:category>
          <w:name w:val="常规"/>
          <w:gallery w:val="placeholder"/>
        </w:category>
        <w:types>
          <w:type w:val="bbPlcHdr"/>
        </w:types>
        <w:behaviors>
          <w:behavior w:val="content"/>
        </w:behaviors>
        <w:description w:val=""/>
        <w:guid w:val="{2feab359-3532-405f-81c2-f04bfcb6d72d}"/>
      </w:docPartPr>
      <w:docPartBody>
        <w:p>
          <w:r>
            <w:rPr>
              <w:color w:val="808080"/>
            </w:rPr>
            <w:t>单击此处输入文字。</w:t>
          </w:r>
        </w:p>
      </w:docPartBody>
    </w:docPart>
    <w:docPart>
      <w:docPartPr>
        <w:name w:val="{fde8586e-591e-485c-acdd-3bfb02483766}"/>
        <w:style w:val=""/>
        <w:category>
          <w:name w:val="常规"/>
          <w:gallery w:val="placeholder"/>
        </w:category>
        <w:types>
          <w:type w:val="bbPlcHdr"/>
        </w:types>
        <w:behaviors>
          <w:behavior w:val="content"/>
        </w:behaviors>
        <w:description w:val=""/>
        <w:guid w:val="{fde8586e-591e-485c-acdd-3bfb02483766}"/>
      </w:docPartPr>
      <w:docPartBody>
        <w:p>
          <w:r>
            <w:rPr>
              <w:color w:val="808080"/>
            </w:rPr>
            <w:t>单击此处输入文字。</w:t>
          </w:r>
        </w:p>
      </w:docPartBody>
    </w:docPart>
    <w:docPart>
      <w:docPartPr>
        <w:name w:val="{125c61e9-c114-4cb2-ab58-250a660ad618}"/>
        <w:style w:val=""/>
        <w:category>
          <w:name w:val="常规"/>
          <w:gallery w:val="placeholder"/>
        </w:category>
        <w:types>
          <w:type w:val="bbPlcHdr"/>
        </w:types>
        <w:behaviors>
          <w:behavior w:val="content"/>
        </w:behaviors>
        <w:description w:val=""/>
        <w:guid w:val="{125c61e9-c114-4cb2-ab58-250a660ad618}"/>
      </w:docPartPr>
      <w:docPartBody>
        <w:p>
          <w:r>
            <w:rPr>
              <w:color w:val="808080"/>
            </w:rPr>
            <w:t>单击此处输入文字。</w:t>
          </w:r>
        </w:p>
      </w:docPartBody>
    </w:docPart>
    <w:docPart>
      <w:docPartPr>
        <w:name w:val="{fadc5dcd-75d6-4bea-93a4-2c912fcbd262}"/>
        <w:style w:val=""/>
        <w:category>
          <w:name w:val="常规"/>
          <w:gallery w:val="placeholder"/>
        </w:category>
        <w:types>
          <w:type w:val="bbPlcHdr"/>
        </w:types>
        <w:behaviors>
          <w:behavior w:val="content"/>
        </w:behaviors>
        <w:description w:val=""/>
        <w:guid w:val="{fadc5dcd-75d6-4bea-93a4-2c912fcbd262}"/>
      </w:docPartPr>
      <w:docPartBody>
        <w:p>
          <w:r>
            <w:rPr>
              <w:color w:val="808080"/>
            </w:rPr>
            <w:t>单击此处输入文字。</w:t>
          </w:r>
        </w:p>
      </w:docPartBody>
    </w:docPart>
    <w:docPart>
      <w:docPartPr>
        <w:name w:val="{3457b475-1971-4c96-b535-2133eca4adf4}"/>
        <w:style w:val=""/>
        <w:category>
          <w:name w:val="常规"/>
          <w:gallery w:val="placeholder"/>
        </w:category>
        <w:types>
          <w:type w:val="bbPlcHdr"/>
        </w:types>
        <w:behaviors>
          <w:behavior w:val="content"/>
        </w:behaviors>
        <w:description w:val=""/>
        <w:guid w:val="{3457b475-1971-4c96-b535-2133eca4adf4}"/>
      </w:docPartPr>
      <w:docPartBody>
        <w:p>
          <w:r>
            <w:rPr>
              <w:color w:val="808080"/>
            </w:rPr>
            <w:t>单击此处输入文字。</w:t>
          </w:r>
        </w:p>
      </w:docPartBody>
    </w:docPart>
    <w:docPart>
      <w:docPartPr>
        <w:name w:val="{9fa12012-fdc1-42b8-a5d2-eb915b89ff25}"/>
        <w:style w:val=""/>
        <w:category>
          <w:name w:val="常规"/>
          <w:gallery w:val="placeholder"/>
        </w:category>
        <w:types>
          <w:type w:val="bbPlcHdr"/>
        </w:types>
        <w:behaviors>
          <w:behavior w:val="content"/>
        </w:behaviors>
        <w:description w:val=""/>
        <w:guid w:val="{9fa12012-fdc1-42b8-a5d2-eb915b89ff25}"/>
      </w:docPartPr>
      <w:docPartBody>
        <w:p>
          <w:r>
            <w:rPr>
              <w:color w:val="808080"/>
            </w:rPr>
            <w:t>单击此处输入文字。</w:t>
          </w:r>
        </w:p>
      </w:docPartBody>
    </w:docPart>
    <w:docPart>
      <w:docPartPr>
        <w:name w:val="{9ebb8bfc-b24e-4c12-9aac-435c468a495a}"/>
        <w:style w:val=""/>
        <w:category>
          <w:name w:val="常规"/>
          <w:gallery w:val="placeholder"/>
        </w:category>
        <w:types>
          <w:type w:val="bbPlcHdr"/>
        </w:types>
        <w:behaviors>
          <w:behavior w:val="content"/>
        </w:behaviors>
        <w:description w:val=""/>
        <w:guid w:val="{9ebb8bfc-b24e-4c12-9aac-435c468a495a}"/>
      </w:docPartPr>
      <w:docPartBody>
        <w:p>
          <w:r>
            <w:rPr>
              <w:color w:val="808080"/>
            </w:rPr>
            <w:t>单击此处输入文字。</w:t>
          </w:r>
        </w:p>
      </w:docPartBody>
    </w:docPart>
    <w:docPart>
      <w:docPartPr>
        <w:name w:val="{9937e13f-6501-46d4-a676-980632312978}"/>
        <w:style w:val=""/>
        <w:category>
          <w:name w:val="常规"/>
          <w:gallery w:val="placeholder"/>
        </w:category>
        <w:types>
          <w:type w:val="bbPlcHdr"/>
        </w:types>
        <w:behaviors>
          <w:behavior w:val="content"/>
        </w:behaviors>
        <w:description w:val=""/>
        <w:guid w:val="{9937e13f-6501-46d4-a676-980632312978}"/>
      </w:docPartPr>
      <w:docPartBody>
        <w:p>
          <w:r>
            <w:rPr>
              <w:color w:val="808080"/>
            </w:rPr>
            <w:t>单击此处输入文字。</w:t>
          </w:r>
        </w:p>
      </w:docPartBody>
    </w:docPart>
    <w:docPart>
      <w:docPartPr>
        <w:name w:val="{b779af6f-d6d1-475e-ae68-7a47994126df}"/>
        <w:style w:val=""/>
        <w:category>
          <w:name w:val="常规"/>
          <w:gallery w:val="placeholder"/>
        </w:category>
        <w:types>
          <w:type w:val="bbPlcHdr"/>
        </w:types>
        <w:behaviors>
          <w:behavior w:val="content"/>
        </w:behaviors>
        <w:description w:val=""/>
        <w:guid w:val="{b779af6f-d6d1-475e-ae68-7a47994126df}"/>
      </w:docPartPr>
      <w:docPartBody>
        <w:p>
          <w:r>
            <w:rPr>
              <w:color w:val="808080"/>
            </w:rPr>
            <w:t>单击此处输入文字。</w:t>
          </w:r>
        </w:p>
      </w:docPartBody>
    </w:docPart>
    <w:docPart>
      <w:docPartPr>
        <w:name w:val="{d76d0584-912d-4edd-9693-d633508f4d2d}"/>
        <w:style w:val=""/>
        <w:category>
          <w:name w:val="常规"/>
          <w:gallery w:val="placeholder"/>
        </w:category>
        <w:types>
          <w:type w:val="bbPlcHdr"/>
        </w:types>
        <w:behaviors>
          <w:behavior w:val="content"/>
        </w:behaviors>
        <w:description w:val=""/>
        <w:guid w:val="{d76d0584-912d-4edd-9693-d633508f4d2d}"/>
      </w:docPartPr>
      <w:docPartBody>
        <w:p>
          <w:r>
            <w:rPr>
              <w:color w:val="808080"/>
            </w:rPr>
            <w:t>单击此处输入文字。</w:t>
          </w:r>
        </w:p>
      </w:docPartBody>
    </w:docPart>
    <w:docPart>
      <w:docPartPr>
        <w:name w:val="{7a1b8c07-18e2-42f1-9f71-22493e765d12}"/>
        <w:style w:val=""/>
        <w:category>
          <w:name w:val="常规"/>
          <w:gallery w:val="placeholder"/>
        </w:category>
        <w:types>
          <w:type w:val="bbPlcHdr"/>
        </w:types>
        <w:behaviors>
          <w:behavior w:val="content"/>
        </w:behaviors>
        <w:description w:val=""/>
        <w:guid w:val="{7a1b8c07-18e2-42f1-9f71-22493e765d12}"/>
      </w:docPartPr>
      <w:docPartBody>
        <w:p>
          <w:r>
            <w:rPr>
              <w:color w:val="808080"/>
            </w:rPr>
            <w:t>单击此处输入文字。</w:t>
          </w:r>
        </w:p>
      </w:docPartBody>
    </w:docPart>
    <w:docPart>
      <w:docPartPr>
        <w:name w:val="{03ca3204-b1be-4b5d-83c7-f8242b14e55d}"/>
        <w:style w:val=""/>
        <w:category>
          <w:name w:val="常规"/>
          <w:gallery w:val="placeholder"/>
        </w:category>
        <w:types>
          <w:type w:val="bbPlcHdr"/>
        </w:types>
        <w:behaviors>
          <w:behavior w:val="content"/>
        </w:behaviors>
        <w:description w:val=""/>
        <w:guid w:val="{03ca3204-b1be-4b5d-83c7-f8242b14e55d}"/>
      </w:docPartPr>
      <w:docPartBody>
        <w:p>
          <w:r>
            <w:rPr>
              <w:color w:val="808080"/>
            </w:rPr>
            <w:t>单击此处输入文字。</w:t>
          </w:r>
        </w:p>
      </w:docPartBody>
    </w:docPart>
    <w:docPart>
      <w:docPartPr>
        <w:name w:val="{f7b33c69-480f-4cd5-8fe0-164ab4e28383}"/>
        <w:style w:val=""/>
        <w:category>
          <w:name w:val="常规"/>
          <w:gallery w:val="placeholder"/>
        </w:category>
        <w:types>
          <w:type w:val="bbPlcHdr"/>
        </w:types>
        <w:behaviors>
          <w:behavior w:val="content"/>
        </w:behaviors>
        <w:description w:val=""/>
        <w:guid w:val="{f7b33c69-480f-4cd5-8fe0-164ab4e28383}"/>
      </w:docPartPr>
      <w:docPartBody>
        <w:p>
          <w:r>
            <w:rPr>
              <w:color w:val="808080"/>
            </w:rPr>
            <w:t>单击此处输入文字。</w:t>
          </w:r>
        </w:p>
      </w:docPartBody>
    </w:docPart>
    <w:docPart>
      <w:docPartPr>
        <w:name w:val="{4805baae-2f15-4496-bfca-fbf90a74a15c}"/>
        <w:style w:val=""/>
        <w:category>
          <w:name w:val="常规"/>
          <w:gallery w:val="placeholder"/>
        </w:category>
        <w:types>
          <w:type w:val="bbPlcHdr"/>
        </w:types>
        <w:behaviors>
          <w:behavior w:val="content"/>
        </w:behaviors>
        <w:description w:val=""/>
        <w:guid w:val="{4805baae-2f15-4496-bfca-fbf90a74a15c}"/>
      </w:docPartPr>
      <w:docPartBody>
        <w:p>
          <w:r>
            <w:rPr>
              <w:color w:val="808080"/>
            </w:rPr>
            <w:t>单击此处输入文字。</w:t>
          </w:r>
        </w:p>
      </w:docPartBody>
    </w:docPart>
    <w:docPart>
      <w:docPartPr>
        <w:name w:val="{f5230814-169e-48ba-b460-13ee885b1fe5}"/>
        <w:style w:val=""/>
        <w:category>
          <w:name w:val="常规"/>
          <w:gallery w:val="placeholder"/>
        </w:category>
        <w:types>
          <w:type w:val="bbPlcHdr"/>
        </w:types>
        <w:behaviors>
          <w:behavior w:val="content"/>
        </w:behaviors>
        <w:description w:val=""/>
        <w:guid w:val="{f5230814-169e-48ba-b460-13ee885b1fe5}"/>
      </w:docPartPr>
      <w:docPartBody>
        <w:p>
          <w:r>
            <w:rPr>
              <w:color w:val="808080"/>
            </w:rPr>
            <w:t>单击此处输入文字。</w:t>
          </w:r>
        </w:p>
      </w:docPartBody>
    </w:docPart>
    <w:docPart>
      <w:docPartPr>
        <w:name w:val="{b6065650-61a3-4743-b5c7-31b1d88079bf}"/>
        <w:style w:val=""/>
        <w:category>
          <w:name w:val="常规"/>
          <w:gallery w:val="placeholder"/>
        </w:category>
        <w:types>
          <w:type w:val="bbPlcHdr"/>
        </w:types>
        <w:behaviors>
          <w:behavior w:val="content"/>
        </w:behaviors>
        <w:description w:val=""/>
        <w:guid w:val="{b6065650-61a3-4743-b5c7-31b1d88079bf}"/>
      </w:docPartPr>
      <w:docPartBody>
        <w:p>
          <w:r>
            <w:rPr>
              <w:color w:val="808080"/>
            </w:rPr>
            <w:t>单击此处输入文字。</w:t>
          </w:r>
        </w:p>
      </w:docPartBody>
    </w:docPart>
    <w:docPart>
      <w:docPartPr>
        <w:name w:val="{7cc5dcf1-808c-4c5b-9262-c092c1d10bf3}"/>
        <w:style w:val=""/>
        <w:category>
          <w:name w:val="常规"/>
          <w:gallery w:val="placeholder"/>
        </w:category>
        <w:types>
          <w:type w:val="bbPlcHdr"/>
        </w:types>
        <w:behaviors>
          <w:behavior w:val="content"/>
        </w:behaviors>
        <w:description w:val=""/>
        <w:guid w:val="{7cc5dcf1-808c-4c5b-9262-c092c1d10bf3}"/>
      </w:docPartPr>
      <w:docPartBody>
        <w:p>
          <w:r>
            <w:rPr>
              <w:color w:val="808080"/>
            </w:rPr>
            <w:t>单击此处输入文字。</w:t>
          </w:r>
        </w:p>
      </w:docPartBody>
    </w:docPart>
    <w:docPart>
      <w:docPartPr>
        <w:name w:val="{74005364-4014-4524-a951-2499089e7bd9}"/>
        <w:style w:val=""/>
        <w:category>
          <w:name w:val="常规"/>
          <w:gallery w:val="placeholder"/>
        </w:category>
        <w:types>
          <w:type w:val="bbPlcHdr"/>
        </w:types>
        <w:behaviors>
          <w:behavior w:val="content"/>
        </w:behaviors>
        <w:description w:val=""/>
        <w:guid w:val="{74005364-4014-4524-a951-2499089e7bd9}"/>
      </w:docPartPr>
      <w:docPartBody>
        <w:p>
          <w:r>
            <w:rPr>
              <w:color w:val="808080"/>
            </w:rPr>
            <w:t>单击此处输入文字。</w:t>
          </w:r>
        </w:p>
      </w:docPartBody>
    </w:docPart>
    <w:docPart>
      <w:docPartPr>
        <w:name w:val="{061bc111-3942-400a-8b13-c58fc6184c22}"/>
        <w:style w:val=""/>
        <w:category>
          <w:name w:val="常规"/>
          <w:gallery w:val="placeholder"/>
        </w:category>
        <w:types>
          <w:type w:val="bbPlcHdr"/>
        </w:types>
        <w:behaviors>
          <w:behavior w:val="content"/>
        </w:behaviors>
        <w:description w:val=""/>
        <w:guid w:val="{061bc111-3942-400a-8b13-c58fc6184c22}"/>
      </w:docPartPr>
      <w:docPartBody>
        <w:p>
          <w:r>
            <w:rPr>
              <w:color w:val="808080"/>
            </w:rPr>
            <w:t>单击此处输入文字。</w:t>
          </w:r>
        </w:p>
      </w:docPartBody>
    </w:docPart>
    <w:docPart>
      <w:docPartPr>
        <w:name w:val="{b93004b7-390e-4e82-af93-be4cf65478cb}"/>
        <w:style w:val=""/>
        <w:category>
          <w:name w:val="常规"/>
          <w:gallery w:val="placeholder"/>
        </w:category>
        <w:types>
          <w:type w:val="bbPlcHdr"/>
        </w:types>
        <w:behaviors>
          <w:behavior w:val="content"/>
        </w:behaviors>
        <w:description w:val=""/>
        <w:guid w:val="{b93004b7-390e-4e82-af93-be4cf65478cb}"/>
      </w:docPartPr>
      <w:docPartBody>
        <w:p>
          <w:r>
            <w:rPr>
              <w:color w:val="808080"/>
            </w:rPr>
            <w:t>单击此处输入文字。</w:t>
          </w:r>
        </w:p>
      </w:docPartBody>
    </w:docPart>
    <w:docPart>
      <w:docPartPr>
        <w:name w:val="{78775e2a-9660-4640-ab44-b4d749b87922}"/>
        <w:style w:val=""/>
        <w:category>
          <w:name w:val="常规"/>
          <w:gallery w:val="placeholder"/>
        </w:category>
        <w:types>
          <w:type w:val="bbPlcHdr"/>
        </w:types>
        <w:behaviors>
          <w:behavior w:val="content"/>
        </w:behaviors>
        <w:description w:val=""/>
        <w:guid w:val="{78775e2a-9660-4640-ab44-b4d749b87922}"/>
      </w:docPartPr>
      <w:docPartBody>
        <w:p>
          <w:r>
            <w:rPr>
              <w:color w:val="808080"/>
            </w:rPr>
            <w:t>单击此处输入文字。</w:t>
          </w:r>
        </w:p>
      </w:docPartBody>
    </w:docPart>
    <w:docPart>
      <w:docPartPr>
        <w:name w:val="{b3b6f3ee-f38f-4bf2-b09c-9d2a1a3acc41}"/>
        <w:style w:val=""/>
        <w:category>
          <w:name w:val="常规"/>
          <w:gallery w:val="placeholder"/>
        </w:category>
        <w:types>
          <w:type w:val="bbPlcHdr"/>
        </w:types>
        <w:behaviors>
          <w:behavior w:val="content"/>
        </w:behaviors>
        <w:description w:val=""/>
        <w:guid w:val="{b3b6f3ee-f38f-4bf2-b09c-9d2a1a3acc41}"/>
      </w:docPartPr>
      <w:docPartBody>
        <w:p>
          <w:r>
            <w:rPr>
              <w:color w:val="808080"/>
            </w:rPr>
            <w:t>单击此处输入文字。</w:t>
          </w:r>
        </w:p>
      </w:docPartBody>
    </w:docPart>
    <w:docPart>
      <w:docPartPr>
        <w:name w:val="{288a2a70-c885-4c6a-b7a1-58beb12c1048}"/>
        <w:style w:val=""/>
        <w:category>
          <w:name w:val="常规"/>
          <w:gallery w:val="placeholder"/>
        </w:category>
        <w:types>
          <w:type w:val="bbPlcHdr"/>
        </w:types>
        <w:behaviors>
          <w:behavior w:val="content"/>
        </w:behaviors>
        <w:description w:val=""/>
        <w:guid w:val="{288a2a70-c885-4c6a-b7a1-58beb12c1048}"/>
      </w:docPartPr>
      <w:docPartBody>
        <w:p>
          <w:r>
            <w:rPr>
              <w:color w:val="808080"/>
            </w:rPr>
            <w:t>单击此处输入文字。</w:t>
          </w:r>
        </w:p>
      </w:docPartBody>
    </w:docPart>
    <w:docPart>
      <w:docPartPr>
        <w:name w:val="{f5f8ecf6-7fde-41af-a1dc-d35bab6b5a49}"/>
        <w:style w:val=""/>
        <w:category>
          <w:name w:val="常规"/>
          <w:gallery w:val="placeholder"/>
        </w:category>
        <w:types>
          <w:type w:val="bbPlcHdr"/>
        </w:types>
        <w:behaviors>
          <w:behavior w:val="content"/>
        </w:behaviors>
        <w:description w:val=""/>
        <w:guid w:val="{f5f8ecf6-7fde-41af-a1dc-d35bab6b5a49}"/>
      </w:docPartPr>
      <w:docPartBody>
        <w:p>
          <w:r>
            <w:rPr>
              <w:color w:val="808080"/>
            </w:rPr>
            <w:t>单击此处输入文字。</w:t>
          </w:r>
        </w:p>
      </w:docPartBody>
    </w:docPart>
    <w:docPart>
      <w:docPartPr>
        <w:name w:val="{8be33565-7ed2-4e31-9325-99e5606cbfa3}"/>
        <w:style w:val=""/>
        <w:category>
          <w:name w:val="常规"/>
          <w:gallery w:val="placeholder"/>
        </w:category>
        <w:types>
          <w:type w:val="bbPlcHdr"/>
        </w:types>
        <w:behaviors>
          <w:behavior w:val="content"/>
        </w:behaviors>
        <w:description w:val=""/>
        <w:guid w:val="{8be33565-7ed2-4e31-9325-99e5606cbfa3}"/>
      </w:docPartPr>
      <w:docPartBody>
        <w:p>
          <w:r>
            <w:rPr>
              <w:color w:val="808080"/>
            </w:rPr>
            <w:t>单击此处输入文字。</w:t>
          </w:r>
        </w:p>
      </w:docPartBody>
    </w:docPart>
    <w:docPart>
      <w:docPartPr>
        <w:name w:val="{29256850-ef41-40ef-826a-742fe910e2ec}"/>
        <w:style w:val=""/>
        <w:category>
          <w:name w:val="常规"/>
          <w:gallery w:val="placeholder"/>
        </w:category>
        <w:types>
          <w:type w:val="bbPlcHdr"/>
        </w:types>
        <w:behaviors>
          <w:behavior w:val="content"/>
        </w:behaviors>
        <w:description w:val=""/>
        <w:guid w:val="{29256850-ef41-40ef-826a-742fe910e2ec}"/>
      </w:docPartPr>
      <w:docPartBody>
        <w:p>
          <w:r>
            <w:rPr>
              <w:color w:val="808080"/>
            </w:rPr>
            <w:t>单击此处输入文字。</w:t>
          </w:r>
        </w:p>
      </w:docPartBody>
    </w:docPart>
    <w:docPart>
      <w:docPartPr>
        <w:name w:val="{39193a75-bcfc-4f7d-87fd-b3d5571d2e79}"/>
        <w:style w:val=""/>
        <w:category>
          <w:name w:val="常规"/>
          <w:gallery w:val="placeholder"/>
        </w:category>
        <w:types>
          <w:type w:val="bbPlcHdr"/>
        </w:types>
        <w:behaviors>
          <w:behavior w:val="content"/>
        </w:behaviors>
        <w:description w:val=""/>
        <w:guid w:val="{39193a75-bcfc-4f7d-87fd-b3d5571d2e79}"/>
      </w:docPartPr>
      <w:docPartBody>
        <w:p>
          <w:r>
            <w:rPr>
              <w:color w:val="808080"/>
            </w:rPr>
            <w:t>单击此处输入文字。</w:t>
          </w:r>
        </w:p>
      </w:docPartBody>
    </w:docPart>
    <w:docPart>
      <w:docPartPr>
        <w:name w:val="{e8e2894b-901d-44b3-9814-e731dc1a6975}"/>
        <w:style w:val=""/>
        <w:category>
          <w:name w:val="常规"/>
          <w:gallery w:val="placeholder"/>
        </w:category>
        <w:types>
          <w:type w:val="bbPlcHdr"/>
        </w:types>
        <w:behaviors>
          <w:behavior w:val="content"/>
        </w:behaviors>
        <w:description w:val=""/>
        <w:guid w:val="{e8e2894b-901d-44b3-9814-e731dc1a6975}"/>
      </w:docPartPr>
      <w:docPartBody>
        <w:p>
          <w:r>
            <w:rPr>
              <w:color w:val="808080"/>
            </w:rPr>
            <w:t>单击此处输入文字。</w:t>
          </w:r>
        </w:p>
      </w:docPartBody>
    </w:docPart>
    <w:docPart>
      <w:docPartPr>
        <w:name w:val="{cdcbeb2f-010a-44f7-bd01-fdff7a9a4f81}"/>
        <w:style w:val=""/>
        <w:category>
          <w:name w:val="常规"/>
          <w:gallery w:val="placeholder"/>
        </w:category>
        <w:types>
          <w:type w:val="bbPlcHdr"/>
        </w:types>
        <w:behaviors>
          <w:behavior w:val="content"/>
        </w:behaviors>
        <w:description w:val=""/>
        <w:guid w:val="{cdcbeb2f-010a-44f7-bd01-fdff7a9a4f81}"/>
      </w:docPartPr>
      <w:docPartBody>
        <w:p>
          <w:r>
            <w:rPr>
              <w:color w:val="808080"/>
            </w:rPr>
            <w:t>单击此处输入文字。</w:t>
          </w:r>
        </w:p>
      </w:docPartBody>
    </w:docPart>
    <w:docPart>
      <w:docPartPr>
        <w:name w:val="{d1b7208a-1b1b-46ab-8115-e81736b388f7}"/>
        <w:style w:val=""/>
        <w:category>
          <w:name w:val="常规"/>
          <w:gallery w:val="placeholder"/>
        </w:category>
        <w:types>
          <w:type w:val="bbPlcHdr"/>
        </w:types>
        <w:behaviors>
          <w:behavior w:val="content"/>
        </w:behaviors>
        <w:description w:val=""/>
        <w:guid w:val="{d1b7208a-1b1b-46ab-8115-e81736b388f7}"/>
      </w:docPartPr>
      <w:docPartBody>
        <w:p>
          <w:r>
            <w:rPr>
              <w:color w:val="808080"/>
            </w:rPr>
            <w:t>单击此处输入文字。</w:t>
          </w:r>
        </w:p>
      </w:docPartBody>
    </w:docPart>
    <w:docPart>
      <w:docPartPr>
        <w:name w:val="{97b2595e-ddb7-444f-9b05-0a93e470fb79}"/>
        <w:style w:val=""/>
        <w:category>
          <w:name w:val="常规"/>
          <w:gallery w:val="placeholder"/>
        </w:category>
        <w:types>
          <w:type w:val="bbPlcHdr"/>
        </w:types>
        <w:behaviors>
          <w:behavior w:val="content"/>
        </w:behaviors>
        <w:description w:val=""/>
        <w:guid w:val="{97b2595e-ddb7-444f-9b05-0a93e470fb79}"/>
      </w:docPartPr>
      <w:docPartBody>
        <w:p>
          <w:r>
            <w:rPr>
              <w:color w:val="808080"/>
            </w:rPr>
            <w:t>单击此处输入文字。</w:t>
          </w:r>
        </w:p>
      </w:docPartBody>
    </w:docPart>
    <w:docPart>
      <w:docPartPr>
        <w:name w:val="{c6e46dc2-acf5-45e0-b4f3-c3e566357d2a}"/>
        <w:style w:val=""/>
        <w:category>
          <w:name w:val="常规"/>
          <w:gallery w:val="placeholder"/>
        </w:category>
        <w:types>
          <w:type w:val="bbPlcHdr"/>
        </w:types>
        <w:behaviors>
          <w:behavior w:val="content"/>
        </w:behaviors>
        <w:description w:val=""/>
        <w:guid w:val="{c6e46dc2-acf5-45e0-b4f3-c3e566357d2a}"/>
      </w:docPartPr>
      <w:docPartBody>
        <w:p>
          <w:r>
            <w:rPr>
              <w:color w:val="808080"/>
            </w:rPr>
            <w:t>单击此处输入文字。</w:t>
          </w:r>
        </w:p>
      </w:docPartBody>
    </w:docPart>
    <w:docPart>
      <w:docPartPr>
        <w:name w:val="{0a75ec53-6226-4a02-a8f4-248503ccdf13}"/>
        <w:style w:val=""/>
        <w:category>
          <w:name w:val="常规"/>
          <w:gallery w:val="placeholder"/>
        </w:category>
        <w:types>
          <w:type w:val="bbPlcHdr"/>
        </w:types>
        <w:behaviors>
          <w:behavior w:val="content"/>
        </w:behaviors>
        <w:description w:val=""/>
        <w:guid w:val="{0a75ec53-6226-4a02-a8f4-248503ccdf13}"/>
      </w:docPartPr>
      <w:docPartBody>
        <w:p>
          <w:r>
            <w:rPr>
              <w:color w:val="808080"/>
            </w:rPr>
            <w:t>单击此处输入文字。</w:t>
          </w:r>
        </w:p>
      </w:docPartBody>
    </w:docPart>
    <w:docPart>
      <w:docPartPr>
        <w:name w:val="{c298d26e-0f02-403f-91d4-d0c23fcecbb4}"/>
        <w:style w:val=""/>
        <w:category>
          <w:name w:val="常规"/>
          <w:gallery w:val="placeholder"/>
        </w:category>
        <w:types>
          <w:type w:val="bbPlcHdr"/>
        </w:types>
        <w:behaviors>
          <w:behavior w:val="content"/>
        </w:behaviors>
        <w:description w:val=""/>
        <w:guid w:val="{c298d26e-0f02-403f-91d4-d0c23fcecbb4}"/>
      </w:docPartPr>
      <w:docPartBody>
        <w:p>
          <w:r>
            <w:rPr>
              <w:color w:val="808080"/>
            </w:rPr>
            <w:t>单击此处输入文字。</w:t>
          </w:r>
        </w:p>
      </w:docPartBody>
    </w:docPart>
    <w:docPart>
      <w:docPartPr>
        <w:name w:val="{d5d07555-43e5-418a-bedb-226b871f2c2a}"/>
        <w:style w:val=""/>
        <w:category>
          <w:name w:val="常规"/>
          <w:gallery w:val="placeholder"/>
        </w:category>
        <w:types>
          <w:type w:val="bbPlcHdr"/>
        </w:types>
        <w:behaviors>
          <w:behavior w:val="content"/>
        </w:behaviors>
        <w:description w:val=""/>
        <w:guid w:val="{d5d07555-43e5-418a-bedb-226b871f2c2a}"/>
      </w:docPartPr>
      <w:docPartBody>
        <w:p>
          <w:r>
            <w:rPr>
              <w:color w:val="808080"/>
            </w:rPr>
            <w:t>单击此处输入文字。</w:t>
          </w:r>
        </w:p>
      </w:docPartBody>
    </w:docPart>
    <w:docPart>
      <w:docPartPr>
        <w:name w:val="{757b7e9d-2138-4545-a99c-ee450679a7b2}"/>
        <w:style w:val=""/>
        <w:category>
          <w:name w:val="常规"/>
          <w:gallery w:val="placeholder"/>
        </w:category>
        <w:types>
          <w:type w:val="bbPlcHdr"/>
        </w:types>
        <w:behaviors>
          <w:behavior w:val="content"/>
        </w:behaviors>
        <w:description w:val=""/>
        <w:guid w:val="{757b7e9d-2138-4545-a99c-ee450679a7b2}"/>
      </w:docPartPr>
      <w:docPartBody>
        <w:p>
          <w:r>
            <w:rPr>
              <w:color w:val="808080"/>
            </w:rPr>
            <w:t>单击此处输入文字。</w:t>
          </w:r>
        </w:p>
      </w:docPartBody>
    </w:docPart>
    <w:docPart>
      <w:docPartPr>
        <w:name w:val="{f133c17d-32dd-4ac9-802e-1f590fca231e}"/>
        <w:style w:val=""/>
        <w:category>
          <w:name w:val="常规"/>
          <w:gallery w:val="placeholder"/>
        </w:category>
        <w:types>
          <w:type w:val="bbPlcHdr"/>
        </w:types>
        <w:behaviors>
          <w:behavior w:val="content"/>
        </w:behaviors>
        <w:description w:val=""/>
        <w:guid w:val="{f133c17d-32dd-4ac9-802e-1f590fca231e}"/>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46</Pages>
  <Words>20495</Words>
  <Characters>22517</Characters>
  <Lines>42</Lines>
  <Paragraphs>50</Paragraphs>
  <ScaleCrop>false</ScaleCrop>
  <LinksUpToDate>false</LinksUpToDate>
  <CharactersWithSpaces>23017</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2017-12-12T03:08:00Z</dcterms:created>
  <dc:creator>瀟瀟</dc:creator>
  <cp:lastModifiedBy>Administrator</cp:lastModifiedBy>
  <cp:lastPrinted>2017-12-27T08:08:00Z</cp:lastPrinted>
  <dcterms:modified xsi:type="dcterms:W3CDTF">2017-12-28T07:18:39Z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