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99" w:rsidRDefault="000D7D55" w:rsidP="00DE5699">
      <w:pPr>
        <w:rPr>
          <w:rFonts w:hint="eastAsia"/>
          <w:b/>
          <w:bCs/>
          <w:spacing w:val="12"/>
          <w:sz w:val="32"/>
          <w:szCs w:val="32"/>
        </w:rPr>
      </w:pPr>
      <w:r>
        <w:rPr>
          <w:rFonts w:hint="eastAsia"/>
          <w:b/>
          <w:bCs/>
          <w:spacing w:val="12"/>
          <w:sz w:val="32"/>
          <w:szCs w:val="32"/>
        </w:rPr>
        <w:t>第五部分</w:t>
      </w:r>
      <w:r w:rsidR="00DE5699">
        <w:rPr>
          <w:rFonts w:hint="eastAsia"/>
          <w:b/>
          <w:bCs/>
          <w:spacing w:val="12"/>
          <w:sz w:val="32"/>
          <w:szCs w:val="32"/>
        </w:rPr>
        <w:t>附件4</w:t>
      </w:r>
    </w:p>
    <w:p w:rsidR="000D7D55" w:rsidRDefault="000D7D55" w:rsidP="00DE5699">
      <w:pPr>
        <w:rPr>
          <w:rFonts w:ascii="方正小标宋简体" w:eastAsia="方正小标宋简体" w:hAnsi="方正小标宋简体" w:cs="方正小标宋简体"/>
          <w:color w:val="000000"/>
          <w:sz w:val="43"/>
          <w:szCs w:val="43"/>
        </w:rPr>
      </w:pPr>
    </w:p>
    <w:p w:rsidR="00DE5699" w:rsidRDefault="00DE5699" w:rsidP="00DE5699">
      <w:pPr>
        <w:spacing w:line="500" w:lineRule="exact"/>
        <w:jc w:val="center"/>
        <w:rPr>
          <w:rFonts w:ascii="方正小标宋简体" w:eastAsia="方正小标宋简体" w:hAnsi="方正小标宋简体" w:cs="方正小标宋简体"/>
          <w:color w:val="000000"/>
          <w:sz w:val="43"/>
          <w:szCs w:val="43"/>
        </w:rPr>
      </w:pPr>
      <w:r>
        <w:rPr>
          <w:rFonts w:ascii="方正小标宋简体" w:eastAsia="方正小标宋简体" w:hAnsi="方正小标宋简体" w:cs="方正小标宋简体" w:hint="eastAsia"/>
          <w:color w:val="000000"/>
          <w:sz w:val="43"/>
          <w:szCs w:val="43"/>
        </w:rPr>
        <w:t>职业院校先进装备制造特色一流专业群项目中央对地方</w:t>
      </w:r>
      <w:r>
        <w:rPr>
          <w:rFonts w:ascii="方正小标宋简体" w:eastAsia="方正小标宋简体" w:hAnsi="方正小标宋简体" w:cs="方正小标宋简体"/>
          <w:color w:val="000000"/>
          <w:sz w:val="43"/>
          <w:szCs w:val="43"/>
        </w:rPr>
        <w:t>专项转移支付</w:t>
      </w:r>
    </w:p>
    <w:p w:rsidR="00DE5699" w:rsidRDefault="00DE5699" w:rsidP="00DE5699">
      <w:pPr>
        <w:spacing w:line="500" w:lineRule="exact"/>
        <w:jc w:val="center"/>
      </w:pPr>
      <w:r>
        <w:rPr>
          <w:rFonts w:ascii="方正小标宋简体" w:eastAsia="方正小标宋简体" w:hAnsi="方正小标宋简体" w:cs="方正小标宋简体"/>
          <w:color w:val="000000"/>
          <w:sz w:val="43"/>
          <w:szCs w:val="43"/>
        </w:rPr>
        <w:t>绩效自评报告</w:t>
      </w:r>
      <w:r>
        <w:rPr>
          <w:rFonts w:ascii="方正小标宋简体" w:eastAsia="方正小标宋简体" w:hAnsi="方正小标宋简体" w:cs="方正小标宋简体" w:hint="eastAsia"/>
          <w:color w:val="000000"/>
          <w:sz w:val="43"/>
          <w:szCs w:val="43"/>
        </w:rPr>
        <w:t>（</w:t>
      </w:r>
      <w:r>
        <w:rPr>
          <w:rFonts w:ascii="方正小标宋简体" w:eastAsia="方正小标宋简体" w:hAnsi="方正小标宋简体" w:cs="方正小标宋简体"/>
          <w:color w:val="000000"/>
          <w:sz w:val="43"/>
          <w:szCs w:val="43"/>
        </w:rPr>
        <w:t>202</w:t>
      </w:r>
      <w:r>
        <w:rPr>
          <w:rFonts w:ascii="方正小标宋简体" w:eastAsia="方正小标宋简体" w:hAnsi="方正小标宋简体" w:cs="方正小标宋简体" w:hint="eastAsia"/>
          <w:color w:val="000000"/>
          <w:sz w:val="43"/>
          <w:szCs w:val="43"/>
        </w:rPr>
        <w:t>2</w:t>
      </w:r>
      <w:r>
        <w:rPr>
          <w:rFonts w:ascii="方正小标宋简体" w:eastAsia="方正小标宋简体" w:hAnsi="方正小标宋简体" w:cs="方正小标宋简体"/>
          <w:color w:val="000000"/>
          <w:sz w:val="43"/>
          <w:szCs w:val="43"/>
        </w:rPr>
        <w:t>年度</w:t>
      </w:r>
      <w:r>
        <w:rPr>
          <w:rFonts w:ascii="方正小标宋简体" w:eastAsia="方正小标宋简体" w:hAnsi="方正小标宋简体" w:cs="方正小标宋简体" w:hint="eastAsia"/>
          <w:color w:val="000000"/>
          <w:sz w:val="43"/>
          <w:szCs w:val="43"/>
        </w:rPr>
        <w:t>）</w:t>
      </w:r>
    </w:p>
    <w:p w:rsidR="00DE5699" w:rsidRDefault="00DE5699" w:rsidP="00DE5699">
      <w:r>
        <w:rPr>
          <w:rFonts w:ascii="仿宋_GB2312" w:eastAsia="仿宋_GB2312" w:hAnsi="仿宋_GB2312" w:cs="仿宋_GB2312"/>
          <w:color w:val="000000"/>
          <w:sz w:val="31"/>
          <w:szCs w:val="31"/>
        </w:rPr>
        <w:t xml:space="preserve">一、绩效目标分解下达情况 </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color w:val="000000"/>
          <w:sz w:val="31"/>
          <w:szCs w:val="31"/>
        </w:rPr>
        <w:t>（一）下达</w:t>
      </w:r>
      <w:r>
        <w:rPr>
          <w:rFonts w:ascii="仿宋_GB2312" w:eastAsia="仿宋_GB2312" w:hAnsi="仿宋_GB2312" w:cs="仿宋_GB2312" w:hint="eastAsia"/>
          <w:color w:val="000000"/>
          <w:sz w:val="31"/>
          <w:szCs w:val="31"/>
        </w:rPr>
        <w:t>特色一流专业群项目专</w:t>
      </w:r>
      <w:r>
        <w:rPr>
          <w:rFonts w:ascii="仿宋_GB2312" w:eastAsia="仿宋_GB2312" w:hAnsi="仿宋_GB2312" w:cs="仿宋_GB2312"/>
          <w:color w:val="000000"/>
          <w:sz w:val="31"/>
          <w:szCs w:val="31"/>
        </w:rPr>
        <w:t xml:space="preserve">项转移支付预算和绩效目标情况 </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全年总预算金额为102.8万元，主要用于专业群的专业建设、课程建设、师资培训、实训条件改善、各类竞赛等。</w:t>
      </w:r>
    </w:p>
    <w:p w:rsidR="00DE5699" w:rsidRDefault="00DE5699" w:rsidP="00DE5699">
      <w:pPr>
        <w:numPr>
          <w:ilvl w:val="0"/>
          <w:numId w:val="1"/>
        </w:numPr>
        <w:rPr>
          <w:rFonts w:ascii="仿宋_GB2312" w:eastAsia="仿宋_GB2312" w:hAnsi="仿宋_GB2312" w:cs="仿宋_GB2312"/>
          <w:color w:val="000000"/>
          <w:sz w:val="31"/>
          <w:szCs w:val="31"/>
        </w:rPr>
      </w:pPr>
      <w:r>
        <w:rPr>
          <w:rFonts w:ascii="仿宋_GB2312" w:eastAsia="仿宋_GB2312" w:hAnsi="仿宋_GB2312" w:cs="仿宋_GB2312"/>
          <w:color w:val="000000"/>
          <w:sz w:val="31"/>
          <w:szCs w:val="31"/>
        </w:rPr>
        <w:t xml:space="preserve">分解下达预算和绩效目标情况 </w:t>
      </w:r>
    </w:p>
    <w:tbl>
      <w:tblPr>
        <w:tblW w:w="9659" w:type="dxa"/>
        <w:jc w:val="center"/>
        <w:tblLayout w:type="fixed"/>
        <w:tblLook w:val="04A0"/>
      </w:tblPr>
      <w:tblGrid>
        <w:gridCol w:w="698"/>
        <w:gridCol w:w="1665"/>
        <w:gridCol w:w="5760"/>
        <w:gridCol w:w="1536"/>
      </w:tblGrid>
      <w:tr w:rsidR="00DE5699" w:rsidTr="005A1087">
        <w:trPr>
          <w:trHeight w:val="408"/>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建设内容</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主要项目</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金额（元）</w:t>
            </w:r>
          </w:p>
        </w:tc>
      </w:tr>
      <w:tr w:rsidR="00DE5699" w:rsidTr="005A1087">
        <w:trPr>
          <w:trHeight w:val="59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专业建设</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视频拍摄制作、论文发表版面费</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18000</w:t>
            </w:r>
          </w:p>
        </w:tc>
      </w:tr>
      <w:tr w:rsidR="00DE5699" w:rsidTr="005A1087">
        <w:trPr>
          <w:trHeight w:val="872"/>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课程建设</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《单片机原理及应用》和《电子技术》在线开放课程资源建设</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50000</w:t>
            </w:r>
          </w:p>
        </w:tc>
      </w:tr>
      <w:tr w:rsidR="00DE5699" w:rsidTr="005A1087">
        <w:trPr>
          <w:trHeight w:val="528"/>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师资培训</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参加国培、专项研修、虚拟仿真基地建设、信息技术应用能力提升、骨干教师技能等培训差旅费</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80000</w:t>
            </w:r>
          </w:p>
        </w:tc>
      </w:tr>
      <w:tr w:rsidR="00DE5699" w:rsidTr="005A1087">
        <w:trPr>
          <w:trHeight w:val="74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实训条件改善</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实训设备拆装、网卡网管更换、设备搬运、机房维护费用</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850000</w:t>
            </w:r>
          </w:p>
        </w:tc>
      </w:tr>
      <w:tr w:rsidR="00DE5699" w:rsidTr="005A1087">
        <w:trPr>
          <w:trHeight w:val="804"/>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各类竞赛</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参加教学能力比赛决赛、全国职业院校技能大赛差旅费、技能竞赛耗材费用</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hAnsi="仿宋_GB2312" w:cs="仿宋_GB2312"/>
                <w:color w:val="000000"/>
              </w:rPr>
            </w:pPr>
            <w:r>
              <w:rPr>
                <w:rFonts w:ascii="仿宋_GB2312" w:eastAsia="仿宋_GB2312" w:hAnsi="仿宋_GB2312" w:cs="仿宋_GB2312" w:hint="eastAsia"/>
                <w:color w:val="000000"/>
              </w:rPr>
              <w:t>30000</w:t>
            </w:r>
          </w:p>
        </w:tc>
      </w:tr>
      <w:tr w:rsidR="00DE5699" w:rsidTr="005A1087">
        <w:trPr>
          <w:trHeight w:val="54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E5699" w:rsidRDefault="00DE5699" w:rsidP="005A1087">
            <w:pPr>
              <w:rPr>
                <w:rFonts w:ascii="仿宋_GB2312" w:eastAsia="仿宋_GB2312" w:hAnsi="仿宋_GB2312" w:cs="仿宋_GB2312"/>
                <w:color w:val="000000"/>
              </w:rPr>
            </w:pP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DE5699" w:rsidRDefault="00DE5699" w:rsidP="005A1087">
            <w:pPr>
              <w:rPr>
                <w:rFonts w:ascii="仿宋_GB2312" w:eastAsia="仿宋_GB2312" w:hAnsi="仿宋_GB2312" w:cs="仿宋_GB2312"/>
                <w:color w:val="000000"/>
              </w:rPr>
            </w:pPr>
            <w:r>
              <w:rPr>
                <w:rFonts w:ascii="仿宋_GB2312" w:eastAsia="仿宋_GB2312" w:hAnsi="仿宋_GB2312" w:cs="仿宋_GB2312" w:hint="eastAsia"/>
                <w:color w:val="000000"/>
              </w:rPr>
              <w:t>合计：1028000元</w:t>
            </w:r>
          </w:p>
        </w:tc>
      </w:tr>
    </w:tbl>
    <w:p w:rsidR="00DE5699" w:rsidRDefault="00DE5699" w:rsidP="00DE5699">
      <w:pPr>
        <w:numPr>
          <w:ilvl w:val="0"/>
          <w:numId w:val="2"/>
        </w:num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绩效目标完成情况分析 </w:t>
      </w:r>
    </w:p>
    <w:p w:rsidR="00DE5699" w:rsidRDefault="00DE5699" w:rsidP="00DE5699">
      <w:r>
        <w:rPr>
          <w:rFonts w:ascii="仿宋_GB2312" w:eastAsia="仿宋_GB2312" w:hAnsi="仿宋_GB2312" w:cs="仿宋_GB2312"/>
          <w:color w:val="000000"/>
          <w:sz w:val="31"/>
          <w:szCs w:val="31"/>
        </w:rPr>
        <w:t xml:space="preserve">（一）资金投入情况分析 </w:t>
      </w:r>
    </w:p>
    <w:p w:rsidR="00DE5699" w:rsidRDefault="00DE5699" w:rsidP="00DE5699">
      <w:pPr>
        <w:ind w:firstLineChars="100" w:firstLine="310"/>
        <w:rPr>
          <w:rFonts w:ascii="仿宋_GB2312" w:eastAsia="仿宋_GB2312" w:hAnsi="仿宋_GB2312" w:cs="仿宋_GB2312"/>
          <w:color w:val="000000"/>
          <w:sz w:val="31"/>
          <w:szCs w:val="31"/>
        </w:rPr>
      </w:pPr>
      <w:r>
        <w:rPr>
          <w:rFonts w:ascii="Times New Roman" w:hAnsi="Times New Roman" w:cs="Times New Roman"/>
          <w:color w:val="000000"/>
          <w:sz w:val="31"/>
          <w:szCs w:val="31"/>
        </w:rPr>
        <w:t>1</w:t>
      </w:r>
      <w:r>
        <w:rPr>
          <w:rFonts w:ascii="仿宋_GB2312" w:eastAsia="仿宋_GB2312" w:hAnsi="仿宋_GB2312" w:cs="仿宋_GB2312"/>
          <w:color w:val="000000"/>
          <w:sz w:val="31"/>
          <w:szCs w:val="31"/>
        </w:rPr>
        <w:t>．项目资金到位情况分析</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lastRenderedPageBreak/>
        <w:t>所需项目资金全部安排到位，由于疫情影响，项目无法按时执行，因此资金无法按预算执行。</w:t>
      </w:r>
    </w:p>
    <w:p w:rsidR="00DE5699" w:rsidRDefault="00DE5699" w:rsidP="00DE5699">
      <w:pPr>
        <w:ind w:firstLineChars="100" w:firstLine="31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2.</w:t>
      </w:r>
      <w:r>
        <w:rPr>
          <w:rFonts w:ascii="仿宋_GB2312" w:eastAsia="仿宋_GB2312" w:hAnsi="仿宋_GB2312" w:cs="仿宋_GB2312"/>
          <w:color w:val="000000"/>
          <w:sz w:val="31"/>
          <w:szCs w:val="31"/>
        </w:rPr>
        <w:t>项目资金执行情况分析</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由于疫情影响，项目资金无法按预算执行到位，资金只支付了76296元，资金使用率7.42%。</w:t>
      </w:r>
    </w:p>
    <w:p w:rsidR="00DE5699" w:rsidRDefault="00DE5699" w:rsidP="00DE5699">
      <w:pPr>
        <w:ind w:firstLineChars="100" w:firstLine="31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3.</w:t>
      </w:r>
      <w:r>
        <w:rPr>
          <w:rFonts w:ascii="仿宋_GB2312" w:eastAsia="仿宋_GB2312" w:hAnsi="仿宋_GB2312" w:cs="仿宋_GB2312"/>
          <w:color w:val="000000"/>
          <w:sz w:val="31"/>
          <w:szCs w:val="31"/>
        </w:rPr>
        <w:t>项目资金管理情况分析</w:t>
      </w:r>
    </w:p>
    <w:p w:rsidR="00DE5699" w:rsidRDefault="00DE5699" w:rsidP="00DE5699">
      <w:pPr>
        <w:ind w:firstLineChars="200" w:firstLine="620"/>
      </w:pPr>
      <w:r>
        <w:rPr>
          <w:rFonts w:ascii="仿宋_GB2312" w:eastAsia="仿宋_GB2312" w:hAnsi="仿宋_GB2312" w:cs="仿宋_GB2312" w:hint="eastAsia"/>
          <w:color w:val="000000"/>
          <w:sz w:val="31"/>
          <w:szCs w:val="31"/>
        </w:rPr>
        <w:t>项目经费坚持专款专用原则，规范管理，注重效益、强化项目监管，确保项目实现预期目标目标与效益。</w:t>
      </w:r>
    </w:p>
    <w:p w:rsidR="00DE5699" w:rsidRDefault="00DE5699" w:rsidP="00DE5699">
      <w:r>
        <w:rPr>
          <w:rFonts w:ascii="仿宋_GB2312" w:eastAsia="仿宋_GB2312" w:hAnsi="仿宋_GB2312" w:cs="仿宋_GB2312"/>
          <w:color w:val="000000"/>
          <w:sz w:val="31"/>
          <w:szCs w:val="31"/>
        </w:rPr>
        <w:t>（二）绩效目标完成情况分析</w:t>
      </w:r>
      <w:r>
        <w:rPr>
          <w:rFonts w:ascii="Times New Roman" w:hAnsi="Times New Roman" w:cs="Times New Roman"/>
          <w:color w:val="000000"/>
          <w:sz w:val="31"/>
          <w:szCs w:val="31"/>
        </w:rPr>
        <w:t>(</w:t>
      </w:r>
      <w:r>
        <w:rPr>
          <w:rFonts w:ascii="仿宋_GB2312" w:eastAsia="仿宋_GB2312" w:hAnsi="仿宋_GB2312" w:cs="仿宋_GB2312"/>
          <w:color w:val="000000"/>
          <w:sz w:val="31"/>
          <w:szCs w:val="31"/>
        </w:rPr>
        <w:t>根据年初绩效目标及指标逐项分析</w:t>
      </w:r>
      <w:r>
        <w:rPr>
          <w:rFonts w:ascii="Times New Roman" w:hAnsi="Times New Roman" w:cs="Times New Roman"/>
          <w:color w:val="000000"/>
          <w:sz w:val="31"/>
          <w:szCs w:val="31"/>
        </w:rPr>
        <w:t xml:space="preserve">) </w:t>
      </w:r>
    </w:p>
    <w:p w:rsidR="00DE5699" w:rsidRDefault="00DE5699" w:rsidP="00DE5699">
      <w:r>
        <w:rPr>
          <w:rFonts w:ascii="Times New Roman" w:hAnsi="Times New Roman" w:cs="Times New Roman"/>
          <w:color w:val="000000"/>
          <w:sz w:val="31"/>
          <w:szCs w:val="31"/>
        </w:rPr>
        <w:t>1</w:t>
      </w:r>
      <w:r>
        <w:rPr>
          <w:rFonts w:ascii="仿宋_GB2312" w:eastAsia="仿宋_GB2312" w:hAnsi="仿宋_GB2312" w:cs="仿宋_GB2312"/>
          <w:color w:val="000000"/>
          <w:sz w:val="31"/>
          <w:szCs w:val="31"/>
        </w:rPr>
        <w:t xml:space="preserve">．产出指标完成情况分析 </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(1)</w:t>
      </w:r>
      <w:r>
        <w:rPr>
          <w:rFonts w:ascii="仿宋_GB2312" w:eastAsia="仿宋_GB2312" w:hAnsi="仿宋_GB2312" w:cs="仿宋_GB2312"/>
          <w:color w:val="000000"/>
          <w:sz w:val="31"/>
          <w:szCs w:val="31"/>
        </w:rPr>
        <w:t xml:space="preserve">数量指标 </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开展一流专业群内专业人才培养方案制定、专业核心课程教学改革、教学成果奖和虚拟仿真实训基地等重点项目申报进行专业建设调研18次，建设课程思政课程6门，14门专业课程制作了课程视频，开发专业群内精品在线开放课程6门，开展师资培训28人次，开展院级学生电梯技能比赛1次，组织院级教师技能比武1次，网络机房维护1次，实训设备搬运和保养1次，网卡网管更换1次；为企业员工进行技术培训超过400人次。</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(2)</w:t>
      </w:r>
      <w:r>
        <w:rPr>
          <w:rFonts w:ascii="仿宋_GB2312" w:eastAsia="仿宋_GB2312" w:hAnsi="仿宋_GB2312" w:cs="仿宋_GB2312"/>
          <w:color w:val="000000"/>
          <w:sz w:val="31"/>
          <w:szCs w:val="31"/>
        </w:rPr>
        <w:t xml:space="preserve">质量指标 </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lastRenderedPageBreak/>
        <w:t>实训设备经电梯工程学院和汽车智能制造学院使用部门、教务处、后勤处资产处、工会、纪检监察室联合验收合格；教师培训合格率100%；思政课程、在线精品课程建设经教务处验收合格；科研课题经科研处验收合格，专业建设在省级比赛、申报项目都取得好成绩；专业群的核心专业机电一体化技术和特色专业电梯工程技术专业2个教研室年度考核为优秀。专业群内人才培养方案全部通过省厅合格性评价，其中电梯工程技术专业获评省级优秀人才培养方案。</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w:t>
      </w:r>
      <w:r>
        <w:rPr>
          <w:rFonts w:ascii="Times New Roman" w:hAnsi="Times New Roman" w:cs="Times New Roman" w:hint="eastAsia"/>
          <w:color w:val="000000"/>
          <w:sz w:val="31"/>
          <w:szCs w:val="31"/>
        </w:rPr>
        <w:t>3</w:t>
      </w:r>
      <w:r>
        <w:rPr>
          <w:rFonts w:ascii="Times New Roman" w:hAnsi="Times New Roman" w:cs="Times New Roman"/>
          <w:color w:val="000000"/>
          <w:sz w:val="31"/>
          <w:szCs w:val="31"/>
        </w:rPr>
        <w:t>)</w:t>
      </w:r>
      <w:r>
        <w:rPr>
          <w:rFonts w:ascii="仿宋_GB2312" w:eastAsia="仿宋_GB2312" w:hAnsi="仿宋_GB2312" w:cs="仿宋_GB2312"/>
          <w:color w:val="000000"/>
          <w:sz w:val="31"/>
          <w:szCs w:val="31"/>
        </w:rPr>
        <w:t xml:space="preserve">时效指标 </w:t>
      </w:r>
    </w:p>
    <w:p w:rsidR="00DE5699" w:rsidRDefault="00DE5699" w:rsidP="00DE5699">
      <w:pPr>
        <w:ind w:firstLineChars="200" w:firstLine="620"/>
        <w:rPr>
          <w:rFonts w:ascii="仿宋_GB2312" w:eastAsia="仿宋_GB2312" w:cs="仿宋_GB2312"/>
          <w:color w:val="000000"/>
          <w:sz w:val="22"/>
          <w:szCs w:val="22"/>
        </w:rPr>
      </w:pPr>
      <w:r>
        <w:rPr>
          <w:rFonts w:ascii="仿宋_GB2312" w:eastAsia="仿宋_GB2312" w:hAnsi="仿宋_GB2312" w:cs="仿宋_GB2312" w:hint="eastAsia"/>
          <w:color w:val="000000"/>
          <w:sz w:val="31"/>
          <w:szCs w:val="31"/>
        </w:rPr>
        <w:t>师资培训、课程建设、教研科研活动基本上按照计划按时执行，但在改善实训条件等方面，受新冠疫情影响，没有在2022年度完成，未完成的目标在2023年度完成。</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(4)</w:t>
      </w:r>
      <w:r>
        <w:rPr>
          <w:rFonts w:ascii="仿宋_GB2312" w:eastAsia="仿宋_GB2312" w:hAnsi="仿宋_GB2312" w:cs="仿宋_GB2312"/>
          <w:color w:val="000000"/>
          <w:sz w:val="31"/>
          <w:szCs w:val="31"/>
        </w:rPr>
        <w:t xml:space="preserve">成本指标 </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专业建设使用1.6604万元、课程建设使用1.1000万元、师资培训使用1.8432万元、实训条件改善使用2.0423万元、参加各类竞赛话费0.9837万元。</w:t>
      </w:r>
    </w:p>
    <w:p w:rsidR="00DE5699" w:rsidRDefault="00DE5699" w:rsidP="00DE5699">
      <w:r>
        <w:rPr>
          <w:rFonts w:ascii="Times New Roman" w:hAnsi="Times New Roman" w:cs="Times New Roman"/>
          <w:color w:val="000000"/>
          <w:sz w:val="31"/>
          <w:szCs w:val="31"/>
        </w:rPr>
        <w:t>2</w:t>
      </w:r>
      <w:r>
        <w:rPr>
          <w:rFonts w:ascii="仿宋_GB2312" w:eastAsia="仿宋_GB2312" w:hAnsi="仿宋_GB2312" w:cs="仿宋_GB2312"/>
          <w:color w:val="000000"/>
          <w:sz w:val="31"/>
          <w:szCs w:val="31"/>
        </w:rPr>
        <w:t xml:space="preserve">．效益指标完成情况分析 </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(1)</w:t>
      </w:r>
      <w:r>
        <w:rPr>
          <w:rFonts w:ascii="仿宋_GB2312" w:eastAsia="仿宋_GB2312" w:hAnsi="仿宋_GB2312" w:cs="仿宋_GB2312"/>
          <w:color w:val="000000"/>
          <w:sz w:val="31"/>
          <w:szCs w:val="31"/>
        </w:rPr>
        <w:t>经济效益</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取得横向课题4万，教师担任省级技能竞赛评委及各类考证考评员共计2.8万元，为企业员工进行技术培训5.4万元。</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(2)</w:t>
      </w:r>
      <w:r>
        <w:rPr>
          <w:rFonts w:ascii="仿宋_GB2312" w:eastAsia="仿宋_GB2312" w:hAnsi="仿宋_GB2312" w:cs="仿宋_GB2312"/>
          <w:color w:val="000000"/>
          <w:sz w:val="31"/>
          <w:szCs w:val="31"/>
        </w:rPr>
        <w:t xml:space="preserve">社会效益 </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lastRenderedPageBreak/>
        <w:t>专业群实训条件大幅改善，在全国职业院校技能大赛中获得二等奖，教师参加了湖南省教师教学能力比赛决赛，取得了二等奖的好成绩，扩大了专业影响力，教学团队通过培训使素质提升，人才培养质量显著加强，为企业进行技术服务和员工培训，社会服务能力大幅提升。</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(3)</w:t>
      </w:r>
      <w:r>
        <w:rPr>
          <w:rFonts w:ascii="仿宋_GB2312" w:eastAsia="仿宋_GB2312" w:hAnsi="仿宋_GB2312" w:cs="仿宋_GB2312"/>
          <w:color w:val="000000"/>
          <w:sz w:val="31"/>
          <w:szCs w:val="31"/>
        </w:rPr>
        <w:t xml:space="preserve">生态效益 </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     无</w:t>
      </w:r>
    </w:p>
    <w:p w:rsidR="00DE5699" w:rsidRDefault="00DE5699" w:rsidP="00DE5699">
      <w:pPr>
        <w:rPr>
          <w:rFonts w:ascii="仿宋_GB2312" w:eastAsia="仿宋_GB2312" w:hAnsi="仿宋_GB2312" w:cs="仿宋_GB2312"/>
          <w:color w:val="000000"/>
          <w:sz w:val="31"/>
          <w:szCs w:val="31"/>
        </w:rPr>
      </w:pPr>
      <w:r>
        <w:rPr>
          <w:rFonts w:ascii="Times New Roman" w:hAnsi="Times New Roman" w:cs="Times New Roman"/>
          <w:color w:val="000000"/>
          <w:sz w:val="31"/>
          <w:szCs w:val="31"/>
        </w:rPr>
        <w:t>(4)</w:t>
      </w:r>
      <w:r>
        <w:rPr>
          <w:rFonts w:ascii="仿宋_GB2312" w:eastAsia="仿宋_GB2312" w:hAnsi="仿宋_GB2312" w:cs="仿宋_GB2312"/>
          <w:color w:val="000000"/>
          <w:sz w:val="31"/>
          <w:szCs w:val="31"/>
        </w:rPr>
        <w:t xml:space="preserve">可持续影响 </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    企业、社会对学院培养的先进装备制造类人才满意持续度提高，专业群的实训条件大幅提升，社会服务能力持续增强，师资能力不断提高，为不断培养优秀人才储备了能量。</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3.</w:t>
      </w:r>
      <w:r>
        <w:rPr>
          <w:rFonts w:ascii="仿宋_GB2312" w:eastAsia="仿宋_GB2312" w:hAnsi="仿宋_GB2312" w:cs="仿宋_GB2312"/>
          <w:color w:val="000000"/>
          <w:sz w:val="31"/>
          <w:szCs w:val="31"/>
        </w:rPr>
        <w:t xml:space="preserve">满意度指标完成情况分析 </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学生对专业实训条件满意度为97%，对老师教学水平</w:t>
      </w:r>
      <w:r>
        <w:rPr>
          <w:rFonts w:ascii="仿宋_GB2312" w:eastAsia="仿宋_GB2312" w:hAnsi="仿宋_GB2312" w:cs="仿宋_GB2312" w:hint="eastAsia"/>
          <w:color w:val="000000"/>
          <w:sz w:val="31"/>
          <w:szCs w:val="31"/>
        </w:rPr>
        <w:tab/>
        <w:t>满意度96% 。</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三、偏离绩效目标的原因和下一步改进措施 </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    由于疫情影响，实训设备采购未能按计划完成，不能按时投入到教学中。遗留下来的采购计划今年继续采购。</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四、绩效自评结果拟应用和公开情况 </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    绩效自评结果拟在一定范围内适度公开。</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五、其他需要说明的问题</w:t>
      </w:r>
    </w:p>
    <w:p w:rsidR="00DE5699" w:rsidRDefault="00DE5699" w:rsidP="00DE5699">
      <w:pPr>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无</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六、附件</w:t>
      </w:r>
    </w:p>
    <w:p w:rsidR="00DE5699" w:rsidRDefault="00DE5699" w:rsidP="00DE5699">
      <w:pPr>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lastRenderedPageBreak/>
        <w:t>转移支付区域（项目）绩效目标自评表</w:t>
      </w:r>
    </w:p>
    <w:p w:rsidR="00DE5699" w:rsidRDefault="00DE5699" w:rsidP="00DE5699">
      <w:pPr>
        <w:rPr>
          <w:rFonts w:ascii="仿宋_GB2312" w:eastAsia="仿宋_GB2312" w:hAnsi="仿宋_GB2312" w:cs="仿宋_GB2312"/>
          <w:color w:val="000000"/>
          <w:sz w:val="31"/>
          <w:szCs w:val="31"/>
        </w:rPr>
      </w:pPr>
    </w:p>
    <w:p w:rsidR="00DE5699" w:rsidRDefault="00DE5699" w:rsidP="00DE5699">
      <w:pPr>
        <w:jc w:val="right"/>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邵阳职业技术学院</w:t>
      </w:r>
    </w:p>
    <w:p w:rsidR="00DE5699" w:rsidRDefault="00DE5699" w:rsidP="00DE5699">
      <w:pPr>
        <w:jc w:val="right"/>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2023年4月24日</w:t>
      </w:r>
    </w:p>
    <w:tbl>
      <w:tblPr>
        <w:tblW w:w="8967" w:type="dxa"/>
        <w:jc w:val="center"/>
        <w:tblLayout w:type="fixed"/>
        <w:tblLook w:val="04A0"/>
      </w:tblPr>
      <w:tblGrid>
        <w:gridCol w:w="528"/>
        <w:gridCol w:w="436"/>
        <w:gridCol w:w="656"/>
        <w:gridCol w:w="1877"/>
        <w:gridCol w:w="1529"/>
        <w:gridCol w:w="980"/>
        <w:gridCol w:w="553"/>
        <w:gridCol w:w="482"/>
        <w:gridCol w:w="702"/>
        <w:gridCol w:w="1224"/>
      </w:tblGrid>
      <w:tr w:rsidR="00DE5699" w:rsidTr="005A1087">
        <w:trPr>
          <w:trHeight w:val="432"/>
          <w:jc w:val="center"/>
        </w:trPr>
        <w:tc>
          <w:tcPr>
            <w:tcW w:w="8967" w:type="dxa"/>
            <w:gridSpan w:val="10"/>
            <w:tcBorders>
              <w:top w:val="nil"/>
              <w:left w:val="nil"/>
              <w:bottom w:val="single" w:sz="4" w:space="0" w:color="000000"/>
              <w:right w:val="nil"/>
            </w:tcBorders>
            <w:shd w:val="clear" w:color="auto" w:fill="auto"/>
          </w:tcPr>
          <w:p w:rsidR="00DE5699" w:rsidRDefault="00DE5699" w:rsidP="005A1087">
            <w:pPr>
              <w:jc w:val="center"/>
              <w:textAlignment w:val="top"/>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转移支付区域（项目）绩效目标</w:t>
            </w:r>
          </w:p>
          <w:p w:rsidR="00DE5699" w:rsidRDefault="00DE5699" w:rsidP="005A1087">
            <w:pPr>
              <w:jc w:val="center"/>
              <w:textAlignment w:val="top"/>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 xml:space="preserve">自 评 表 </w:t>
            </w:r>
          </w:p>
          <w:p w:rsidR="00DE5699" w:rsidRDefault="00DE5699" w:rsidP="005A1087">
            <w:pPr>
              <w:jc w:val="center"/>
              <w:textAlignment w:val="top"/>
              <w:rPr>
                <w:rFonts w:ascii="仿宋_GB2312" w:eastAsia="仿宋_GB2312" w:cs="仿宋_GB2312"/>
                <w:color w:val="000000"/>
                <w:sz w:val="22"/>
                <w:szCs w:val="22"/>
              </w:rPr>
            </w:pPr>
            <w:r>
              <w:rPr>
                <w:rFonts w:ascii="仿宋_GB2312" w:eastAsia="仿宋_GB2312" w:cs="仿宋_GB2312"/>
                <w:color w:val="000000"/>
                <w:sz w:val="28"/>
                <w:szCs w:val="28"/>
              </w:rPr>
              <w:t>（202</w:t>
            </w:r>
            <w:r>
              <w:rPr>
                <w:rFonts w:ascii="仿宋_GB2312" w:eastAsia="仿宋_GB2312" w:cs="仿宋_GB2312" w:hint="eastAsia"/>
                <w:color w:val="000000"/>
                <w:sz w:val="28"/>
                <w:szCs w:val="28"/>
              </w:rPr>
              <w:t>2</w:t>
            </w:r>
            <w:r>
              <w:rPr>
                <w:rFonts w:ascii="仿宋_GB2312" w:eastAsia="仿宋_GB2312" w:cs="仿宋_GB2312"/>
                <w:color w:val="000000"/>
                <w:sz w:val="28"/>
                <w:szCs w:val="28"/>
              </w:rPr>
              <w:t>年度）</w:t>
            </w:r>
          </w:p>
        </w:tc>
      </w:tr>
      <w:tr w:rsidR="00DE5699" w:rsidTr="005A1087">
        <w:trPr>
          <w:trHeight w:val="552"/>
          <w:jc w:val="center"/>
        </w:trPr>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转移支付（项目）名称</w:t>
            </w:r>
          </w:p>
        </w:tc>
        <w:tc>
          <w:tcPr>
            <w:tcW w:w="438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先进装备特色一流专业群项目</w:t>
            </w:r>
            <w:r>
              <w:rPr>
                <w:rFonts w:ascii="仿宋_GB2312" w:eastAsia="仿宋_GB2312" w:cs="仿宋_GB2312"/>
                <w:color w:val="000000"/>
                <w:sz w:val="22"/>
                <w:szCs w:val="22"/>
              </w:rPr>
              <w:t>专项资金</w:t>
            </w:r>
          </w:p>
        </w:tc>
        <w:tc>
          <w:tcPr>
            <w:tcW w:w="103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负责人及电话</w:t>
            </w:r>
          </w:p>
        </w:tc>
        <w:tc>
          <w:tcPr>
            <w:tcW w:w="192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刘一兵18075932768</w:t>
            </w:r>
          </w:p>
        </w:tc>
      </w:tr>
      <w:tr w:rsidR="00DE5699" w:rsidTr="005A1087">
        <w:trPr>
          <w:trHeight w:val="323"/>
          <w:jc w:val="center"/>
        </w:trPr>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中央主管部门</w:t>
            </w:r>
          </w:p>
        </w:tc>
        <w:tc>
          <w:tcPr>
            <w:tcW w:w="73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323"/>
          <w:jc w:val="center"/>
        </w:trPr>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地方主管部门</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邵阳市人民政府</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实施单位</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邵阳职业技术学院</w:t>
            </w:r>
          </w:p>
        </w:tc>
      </w:tr>
      <w:tr w:rsidR="00DE5699" w:rsidTr="005A1087">
        <w:trPr>
          <w:trHeight w:val="323"/>
          <w:jc w:val="center"/>
        </w:trPr>
        <w:tc>
          <w:tcPr>
            <w:tcW w:w="1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项目资金</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（万元）</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全年预算数（A）</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全年执行数（B）</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预算执行率（B/A)</w:t>
            </w:r>
          </w:p>
        </w:tc>
      </w:tr>
      <w:tr w:rsidR="00DE5699" w:rsidTr="005A1087">
        <w:trPr>
          <w:trHeight w:val="323"/>
          <w:jc w:val="center"/>
        </w:trPr>
        <w:tc>
          <w:tcPr>
            <w:tcW w:w="16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年度资金总额：</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102.8</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7.6296</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7.42</w:t>
            </w:r>
            <w:r>
              <w:rPr>
                <w:rFonts w:ascii="仿宋_GB2312" w:eastAsia="仿宋_GB2312" w:cs="仿宋_GB2312"/>
                <w:color w:val="000000"/>
                <w:sz w:val="22"/>
                <w:szCs w:val="22"/>
              </w:rPr>
              <w:t>%</w:t>
            </w:r>
          </w:p>
        </w:tc>
      </w:tr>
      <w:tr w:rsidR="00DE5699" w:rsidTr="005A1087">
        <w:trPr>
          <w:trHeight w:val="323"/>
          <w:jc w:val="center"/>
        </w:trPr>
        <w:tc>
          <w:tcPr>
            <w:tcW w:w="16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其中：中央补助</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7.6296</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7.63</w:t>
            </w:r>
            <w:r>
              <w:rPr>
                <w:rFonts w:ascii="仿宋_GB2312" w:eastAsia="仿宋_GB2312" w:cs="仿宋_GB2312"/>
                <w:color w:val="000000"/>
                <w:sz w:val="22"/>
                <w:szCs w:val="22"/>
              </w:rPr>
              <w:t>%</w:t>
            </w:r>
          </w:p>
        </w:tc>
      </w:tr>
      <w:tr w:rsidR="00DE5699" w:rsidTr="005A1087">
        <w:trPr>
          <w:trHeight w:val="323"/>
          <w:jc w:val="center"/>
        </w:trPr>
        <w:tc>
          <w:tcPr>
            <w:tcW w:w="16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 xml:space="preserve">      地方资金</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323"/>
          <w:jc w:val="center"/>
        </w:trPr>
        <w:tc>
          <w:tcPr>
            <w:tcW w:w="16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 xml:space="preserve"> 其他资金</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323"/>
          <w:jc w:val="center"/>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年度总体目标</w:t>
            </w:r>
          </w:p>
        </w:tc>
        <w:tc>
          <w:tcPr>
            <w:tcW w:w="4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年初设定目标</w:t>
            </w:r>
          </w:p>
        </w:tc>
        <w:tc>
          <w:tcPr>
            <w:tcW w:w="39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全年实际完成情况</w:t>
            </w:r>
          </w:p>
        </w:tc>
      </w:tr>
      <w:tr w:rsidR="00DE5699" w:rsidTr="005A1087">
        <w:trPr>
          <w:trHeight w:val="760"/>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rPr>
                <w:rFonts w:ascii="仿宋_GB2312" w:eastAsia="仿宋_GB2312" w:cs="仿宋_GB2312"/>
                <w:color w:val="000000"/>
                <w:sz w:val="22"/>
                <w:szCs w:val="22"/>
              </w:rPr>
            </w:pPr>
          </w:p>
        </w:tc>
        <w:tc>
          <w:tcPr>
            <w:tcW w:w="4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以校企共建共享共赢为宗旨，以校企“双主体育人”为核心，以信息化为手段，深化教育教学改革，通过努力，成为区域先进装备制造人才培养基地，企业员工培养和技能鉴定中心；先进装备制造专业群成为在校企合作机制，人才培养模式，教学团队建设，群内资源建设与共享，教育信息化，专业服务产业等方面特色鲜明的引领其它专业业发展的省内特色一流专业群。</w:t>
            </w:r>
          </w:p>
        </w:tc>
        <w:tc>
          <w:tcPr>
            <w:tcW w:w="39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由于疫情影响，师资培训和设备采购在2022年度未完成，其他基本按计划完成，未完成的目标在2023年度完成。</w:t>
            </w:r>
          </w:p>
        </w:tc>
      </w:tr>
      <w:tr w:rsidR="00DE5699" w:rsidTr="005A1087">
        <w:trPr>
          <w:trHeight w:val="580"/>
          <w:jc w:val="center"/>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绩效指标</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一级</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指标</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二级指标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三级指标</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年度指标值</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全年完成值</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未完成原因和改进措施</w:t>
            </w: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产</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出</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指</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标</w:t>
            </w:r>
          </w:p>
        </w:tc>
        <w:tc>
          <w:tcPr>
            <w:tcW w:w="656" w:type="dxa"/>
            <w:vMerge w:val="restart"/>
            <w:tcBorders>
              <w:top w:val="single" w:sz="4" w:space="0" w:color="000000"/>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数量指标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专业调研</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18次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4次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疫情</w:t>
            </w: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课程思政建设</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6门</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6门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课程视频制作</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14门</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14门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在线精品课程开发</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6门</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6门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师资培训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28人次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28人次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电梯技能比赛</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院级教师技能比武</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网络机房维护</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实训设备搬运和保养</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网卡网管更换</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为企业员工进行技术培训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400人次</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400人次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val="restart"/>
            <w:tcBorders>
              <w:top w:val="single" w:sz="4" w:space="0" w:color="000000"/>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质量指标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实训设备符合招标参数学院验收合格</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没有完成采购</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疫情影响</w:t>
            </w: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专业建设有成果</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课程建设质量优良</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教师职业技能合格率</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教研科研活动有成效</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时效指标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实训设备调试运行使用</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没有完成采购</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疫情影响</w:t>
            </w: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师资培训按照计划</w:t>
            </w:r>
            <w:r>
              <w:rPr>
                <w:rFonts w:ascii="仿宋_GB2312" w:eastAsia="仿宋_GB2312" w:cs="仿宋_GB2312"/>
                <w:color w:val="000000"/>
                <w:sz w:val="22"/>
                <w:szCs w:val="22"/>
              </w:rPr>
              <w:t>执行</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完成</w:t>
            </w:r>
            <w:r>
              <w:rPr>
                <w:rFonts w:ascii="仿宋_GB2312" w:eastAsia="仿宋_GB2312" w:cs="仿宋_GB2312" w:hint="eastAsia"/>
                <w:color w:val="000000"/>
                <w:sz w:val="22"/>
                <w:szCs w:val="22"/>
              </w:rPr>
              <w:t>部分</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疫情影响</w:t>
            </w: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课程建设按照计划</w:t>
            </w:r>
            <w:r>
              <w:rPr>
                <w:rFonts w:ascii="仿宋_GB2312" w:eastAsia="仿宋_GB2312" w:cs="仿宋_GB2312"/>
                <w:color w:val="000000"/>
                <w:sz w:val="22"/>
                <w:szCs w:val="22"/>
              </w:rPr>
              <w:t>执行</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如期完成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教研科研活动照计划</w:t>
            </w:r>
            <w:r>
              <w:rPr>
                <w:rFonts w:ascii="仿宋_GB2312" w:eastAsia="仿宋_GB2312" w:cs="仿宋_GB2312"/>
                <w:color w:val="000000"/>
                <w:sz w:val="22"/>
                <w:szCs w:val="22"/>
              </w:rPr>
              <w:t>执行</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如期完成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val="restart"/>
            <w:tcBorders>
              <w:top w:val="single" w:sz="4" w:space="0" w:color="000000"/>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成本指标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专业建设</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18000元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16604元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课程建设</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50000元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11000元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师资培训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80000元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18432元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实训条件改善</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850000元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20423元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社会服务</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30000元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9837元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404"/>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效</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益</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指</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标</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经济效益</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横向课题</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40000元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40000元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，教师担任省级技能竞赛评委及各类考证考评员共计</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28000元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28000元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为社会人员进行技术培训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120000元</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120000元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val="restart"/>
            <w:tcBorders>
              <w:top w:val="single" w:sz="4" w:space="0" w:color="000000"/>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社会效益</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对其它专业群的领引力</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不断增强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教学团队素质</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素质提升</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人才培养质量</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质量加强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社会服务能力</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能力提升</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生态效益</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676"/>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可持续影响指标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企业、社会对人才满意</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对培养的人才满意度提高</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教师教学能力和科研能力提升</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教师社会服务能力强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满意度指标</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服务对象</w:t>
            </w:r>
          </w:p>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满意度指标</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专业实训条件</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满意度9</w:t>
            </w:r>
            <w:r>
              <w:rPr>
                <w:rFonts w:ascii="仿宋_GB2312" w:eastAsia="仿宋_GB2312" w:cs="仿宋_GB2312" w:hint="eastAsia"/>
                <w:color w:val="000000"/>
                <w:sz w:val="22"/>
                <w:szCs w:val="22"/>
              </w:rPr>
              <w:t>8</w:t>
            </w:r>
            <w:r>
              <w:rPr>
                <w:rFonts w:ascii="仿宋_GB2312" w:eastAsia="仿宋_GB2312" w:cs="仿宋_GB2312"/>
                <w:color w:val="000000"/>
                <w:sz w:val="22"/>
                <w:szCs w:val="22"/>
              </w:rPr>
              <w:t>%</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263"/>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hint="eastAsia"/>
                <w:color w:val="000000"/>
                <w:sz w:val="22"/>
                <w:szCs w:val="22"/>
              </w:rPr>
              <w:t>老师教学水平</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满意度9</w:t>
            </w:r>
            <w:r>
              <w:rPr>
                <w:rFonts w:ascii="仿宋_GB2312" w:eastAsia="仿宋_GB2312" w:cs="仿宋_GB2312" w:hint="eastAsia"/>
                <w:color w:val="000000"/>
                <w:sz w:val="22"/>
                <w:szCs w:val="22"/>
              </w:rPr>
              <w:t>5</w:t>
            </w:r>
            <w:r>
              <w:rPr>
                <w:rFonts w:ascii="仿宋_GB2312" w:eastAsia="仿宋_GB2312" w:cs="仿宋_GB2312"/>
                <w:color w:val="000000"/>
                <w:sz w:val="22"/>
                <w:szCs w:val="22"/>
              </w:rPr>
              <w:t>%</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达成目标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377"/>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E5699" w:rsidRDefault="00DE5699" w:rsidP="005A1087">
            <w:pPr>
              <w:jc w:val="center"/>
              <w:rPr>
                <w:rFonts w:ascii="仿宋_GB2312" w:eastAsia="仿宋_GB2312" w:cs="仿宋_GB2312"/>
                <w:color w:val="000000"/>
                <w:sz w:val="22"/>
                <w:szCs w:val="22"/>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p>
        </w:tc>
      </w:tr>
      <w:tr w:rsidR="00DE5699" w:rsidTr="005A1087">
        <w:trPr>
          <w:trHeight w:val="323"/>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说明</w:t>
            </w:r>
          </w:p>
        </w:tc>
        <w:tc>
          <w:tcPr>
            <w:tcW w:w="843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E5699" w:rsidRDefault="00DE5699" w:rsidP="005A1087">
            <w:pPr>
              <w:jc w:val="center"/>
              <w:textAlignment w:val="center"/>
              <w:rPr>
                <w:rFonts w:ascii="仿宋_GB2312" w:eastAsia="仿宋_GB2312" w:cs="仿宋_GB2312"/>
                <w:color w:val="000000"/>
                <w:sz w:val="22"/>
                <w:szCs w:val="22"/>
              </w:rPr>
            </w:pPr>
            <w:r>
              <w:rPr>
                <w:rFonts w:ascii="仿宋_GB2312" w:eastAsia="仿宋_GB2312" w:cs="仿宋_GB2312"/>
                <w:color w:val="000000"/>
                <w:sz w:val="22"/>
                <w:szCs w:val="22"/>
              </w:rPr>
              <w:t>无</w:t>
            </w:r>
          </w:p>
        </w:tc>
      </w:tr>
      <w:tr w:rsidR="00DE5699" w:rsidTr="005A1087">
        <w:trPr>
          <w:trHeight w:val="360"/>
          <w:jc w:val="center"/>
        </w:trPr>
        <w:tc>
          <w:tcPr>
            <w:tcW w:w="8967" w:type="dxa"/>
            <w:gridSpan w:val="10"/>
            <w:tcBorders>
              <w:top w:val="nil"/>
              <w:left w:val="nil"/>
              <w:bottom w:val="nil"/>
              <w:right w:val="nil"/>
            </w:tcBorders>
            <w:shd w:val="clear" w:color="auto" w:fill="auto"/>
            <w:vAlign w:val="bottom"/>
          </w:tcPr>
          <w:p w:rsidR="00DE5699" w:rsidRDefault="00DE5699" w:rsidP="005A1087">
            <w:pPr>
              <w:textAlignment w:val="bottom"/>
              <w:rPr>
                <w:rFonts w:ascii="仿宋_GB2312" w:eastAsia="仿宋_GB2312" w:cs="仿宋_GB2312"/>
                <w:color w:val="000000"/>
                <w:sz w:val="20"/>
                <w:szCs w:val="20"/>
              </w:rPr>
            </w:pPr>
            <w:r>
              <w:rPr>
                <w:rFonts w:ascii="仿宋_GB2312" w:eastAsia="仿宋_GB2312" w:cs="仿宋_GB2312"/>
                <w:color w:val="000000"/>
                <w:sz w:val="20"/>
                <w:szCs w:val="20"/>
              </w:rPr>
              <w:t>注：1.资金使用单位按项目绩效目标填报，主管部门汇总时按区域绩效目标汇报。</w:t>
            </w:r>
          </w:p>
        </w:tc>
      </w:tr>
      <w:tr w:rsidR="00DE5699" w:rsidTr="005A1087">
        <w:trPr>
          <w:trHeight w:val="540"/>
          <w:jc w:val="center"/>
        </w:trPr>
        <w:tc>
          <w:tcPr>
            <w:tcW w:w="8967" w:type="dxa"/>
            <w:gridSpan w:val="10"/>
            <w:tcBorders>
              <w:top w:val="nil"/>
              <w:left w:val="nil"/>
              <w:bottom w:val="nil"/>
              <w:right w:val="nil"/>
            </w:tcBorders>
            <w:shd w:val="clear" w:color="auto" w:fill="auto"/>
            <w:vAlign w:val="bottom"/>
          </w:tcPr>
          <w:p w:rsidR="00DE5699" w:rsidRDefault="00DE5699" w:rsidP="005A1087">
            <w:pPr>
              <w:textAlignment w:val="bottom"/>
              <w:rPr>
                <w:rFonts w:ascii="仿宋_GB2312" w:eastAsia="仿宋_GB2312" w:cs="仿宋_GB2312"/>
                <w:color w:val="000000"/>
                <w:sz w:val="20"/>
                <w:szCs w:val="20"/>
              </w:rPr>
            </w:pPr>
            <w:r>
              <w:rPr>
                <w:rFonts w:ascii="仿宋_GB2312" w:eastAsia="仿宋_GB2312" w:cs="仿宋_GB2312"/>
                <w:color w:val="000000"/>
                <w:sz w:val="20"/>
                <w:szCs w:val="20"/>
              </w:rPr>
              <w:t xml:space="preserve">    2.其他资金包括和中央补助、地方财政资金共同投入到同一项目的自有资金、社会资金，以及以前年度的结转结余资金等。</w:t>
            </w:r>
          </w:p>
        </w:tc>
      </w:tr>
      <w:tr w:rsidR="00DE5699" w:rsidTr="005A1087">
        <w:trPr>
          <w:trHeight w:val="510"/>
          <w:jc w:val="center"/>
        </w:trPr>
        <w:tc>
          <w:tcPr>
            <w:tcW w:w="8967" w:type="dxa"/>
            <w:gridSpan w:val="10"/>
            <w:tcBorders>
              <w:top w:val="nil"/>
              <w:left w:val="nil"/>
              <w:bottom w:val="nil"/>
              <w:right w:val="nil"/>
            </w:tcBorders>
            <w:shd w:val="clear" w:color="auto" w:fill="auto"/>
            <w:vAlign w:val="bottom"/>
          </w:tcPr>
          <w:p w:rsidR="00DE5699" w:rsidRDefault="00DE5699" w:rsidP="005A1087">
            <w:pPr>
              <w:textAlignment w:val="bottom"/>
              <w:rPr>
                <w:rFonts w:ascii="仿宋_GB2312" w:eastAsia="仿宋_GB2312" w:cs="仿宋_GB2312"/>
                <w:color w:val="000000"/>
                <w:sz w:val="20"/>
                <w:szCs w:val="20"/>
              </w:rPr>
            </w:pPr>
            <w:r>
              <w:rPr>
                <w:rFonts w:ascii="仿宋_GB2312" w:eastAsia="仿宋_GB2312" w:cs="仿宋_GB2312"/>
                <w:color w:val="000000"/>
                <w:sz w:val="20"/>
                <w:szCs w:val="20"/>
              </w:rPr>
              <w:t xml:space="preserve">    3.定量指标，资金使用单位填写本地区实际完成数。财政和主管部门汇总时，对绝对值直接累加计算，相对值按照资金额度加权平均计算。</w:t>
            </w:r>
          </w:p>
        </w:tc>
      </w:tr>
      <w:tr w:rsidR="00DE5699" w:rsidTr="005A1087">
        <w:trPr>
          <w:trHeight w:val="240"/>
          <w:jc w:val="center"/>
        </w:trPr>
        <w:tc>
          <w:tcPr>
            <w:tcW w:w="8967" w:type="dxa"/>
            <w:gridSpan w:val="10"/>
            <w:tcBorders>
              <w:top w:val="nil"/>
              <w:left w:val="nil"/>
              <w:bottom w:val="nil"/>
              <w:right w:val="nil"/>
            </w:tcBorders>
            <w:shd w:val="clear" w:color="auto" w:fill="auto"/>
            <w:vAlign w:val="bottom"/>
          </w:tcPr>
          <w:p w:rsidR="00DE5699" w:rsidRDefault="00DE5699" w:rsidP="005A1087">
            <w:pPr>
              <w:textAlignment w:val="bottom"/>
              <w:rPr>
                <w:rFonts w:ascii="仿宋_GB2312" w:eastAsia="仿宋_GB2312" w:cs="仿宋_GB2312"/>
                <w:color w:val="000000"/>
                <w:sz w:val="20"/>
                <w:szCs w:val="20"/>
              </w:rPr>
            </w:pPr>
            <w:r>
              <w:rPr>
                <w:rFonts w:ascii="仿宋_GB2312" w:eastAsia="仿宋_GB2312" w:cs="仿宋_GB2312"/>
                <w:color w:val="000000"/>
                <w:sz w:val="20"/>
                <w:szCs w:val="20"/>
              </w:rPr>
              <w:t xml:space="preserve">    4.定性指标根据指标完成情况分为：全部或基本达成预期指标、部分达成预期指标并具有一定效果、未达成预期指标且效果较差三档，分别按照100%-80%（含）、80%-60%（含）、60-0%合理填写完成比例。</w:t>
            </w:r>
          </w:p>
        </w:tc>
      </w:tr>
      <w:tr w:rsidR="00DE5699" w:rsidTr="005A1087">
        <w:trPr>
          <w:trHeight w:val="270"/>
          <w:jc w:val="center"/>
        </w:trPr>
        <w:tc>
          <w:tcPr>
            <w:tcW w:w="8967" w:type="dxa"/>
            <w:gridSpan w:val="10"/>
            <w:tcBorders>
              <w:top w:val="nil"/>
              <w:left w:val="nil"/>
              <w:bottom w:val="nil"/>
              <w:right w:val="nil"/>
            </w:tcBorders>
            <w:shd w:val="clear" w:color="auto" w:fill="auto"/>
            <w:vAlign w:val="bottom"/>
          </w:tcPr>
          <w:p w:rsidR="00DE5699" w:rsidRDefault="00DE5699" w:rsidP="005A1087">
            <w:pPr>
              <w:textAlignment w:val="bottom"/>
              <w:rPr>
                <w:rFonts w:ascii="仿宋_GB2312" w:eastAsia="仿宋_GB2312" w:cs="仿宋_GB2312"/>
                <w:color w:val="000000"/>
                <w:sz w:val="20"/>
                <w:szCs w:val="20"/>
              </w:rPr>
            </w:pPr>
            <w:r>
              <w:rPr>
                <w:rStyle w:val="font91"/>
              </w:rPr>
              <w:t xml:space="preserve">   5.资金使用单位按项目填报，主管部门和财政部门汇总时按区域绩效目标填报。</w:t>
            </w:r>
          </w:p>
        </w:tc>
      </w:tr>
    </w:tbl>
    <w:p w:rsidR="001E1E2D" w:rsidRPr="00DE5699" w:rsidRDefault="001E1E2D"/>
    <w:sectPr w:rsidR="001E1E2D" w:rsidRPr="00DE5699" w:rsidSect="001E1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E7" w:rsidRDefault="002825E7" w:rsidP="000D7D55">
      <w:r>
        <w:separator/>
      </w:r>
    </w:p>
  </w:endnote>
  <w:endnote w:type="continuationSeparator" w:id="1">
    <w:p w:rsidR="002825E7" w:rsidRDefault="002825E7" w:rsidP="000D7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E7" w:rsidRDefault="002825E7" w:rsidP="000D7D55">
      <w:r>
        <w:separator/>
      </w:r>
    </w:p>
  </w:footnote>
  <w:footnote w:type="continuationSeparator" w:id="1">
    <w:p w:rsidR="002825E7" w:rsidRDefault="002825E7" w:rsidP="000D7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59A676"/>
    <w:multiLevelType w:val="singleLevel"/>
    <w:tmpl w:val="D559A676"/>
    <w:lvl w:ilvl="0">
      <w:start w:val="2"/>
      <w:numFmt w:val="chineseCounting"/>
      <w:suff w:val="nothing"/>
      <w:lvlText w:val="（%1）"/>
      <w:lvlJc w:val="left"/>
      <w:rPr>
        <w:rFonts w:hint="eastAsia"/>
      </w:rPr>
    </w:lvl>
  </w:abstractNum>
  <w:abstractNum w:abstractNumId="1">
    <w:nsid w:val="00F1A394"/>
    <w:multiLevelType w:val="singleLevel"/>
    <w:tmpl w:val="00F1A39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699"/>
    <w:rsid w:val="000D7D55"/>
    <w:rsid w:val="001E1E2D"/>
    <w:rsid w:val="002825E7"/>
    <w:rsid w:val="00C57E13"/>
    <w:rsid w:val="00DE5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9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basedOn w:val="a0"/>
    <w:qFormat/>
    <w:rsid w:val="00DE5699"/>
    <w:rPr>
      <w:rFonts w:ascii="仿宋_GB2312" w:eastAsia="仿宋_GB2312" w:cs="仿宋_GB2312" w:hint="default"/>
      <w:color w:val="000000"/>
      <w:sz w:val="20"/>
      <w:szCs w:val="20"/>
      <w:u w:val="none"/>
    </w:rPr>
  </w:style>
  <w:style w:type="paragraph" w:styleId="a3">
    <w:name w:val="header"/>
    <w:basedOn w:val="a"/>
    <w:link w:val="Char"/>
    <w:uiPriority w:val="99"/>
    <w:semiHidden/>
    <w:unhideWhenUsed/>
    <w:rsid w:val="000D7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D55"/>
    <w:rPr>
      <w:rFonts w:ascii="宋体" w:eastAsia="宋体" w:hAnsi="宋体" w:cs="宋体"/>
      <w:kern w:val="0"/>
      <w:sz w:val="18"/>
      <w:szCs w:val="18"/>
    </w:rPr>
  </w:style>
  <w:style w:type="paragraph" w:styleId="a4">
    <w:name w:val="footer"/>
    <w:basedOn w:val="a"/>
    <w:link w:val="Char0"/>
    <w:uiPriority w:val="99"/>
    <w:semiHidden/>
    <w:unhideWhenUsed/>
    <w:rsid w:val="000D7D55"/>
    <w:pPr>
      <w:tabs>
        <w:tab w:val="center" w:pos="4153"/>
        <w:tab w:val="right" w:pos="8306"/>
      </w:tabs>
      <w:snapToGrid w:val="0"/>
    </w:pPr>
    <w:rPr>
      <w:sz w:val="18"/>
      <w:szCs w:val="18"/>
    </w:rPr>
  </w:style>
  <w:style w:type="character" w:customStyle="1" w:styleId="Char0">
    <w:name w:val="页脚 Char"/>
    <w:basedOn w:val="a0"/>
    <w:link w:val="a4"/>
    <w:uiPriority w:val="99"/>
    <w:semiHidden/>
    <w:rsid w:val="000D7D55"/>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2023-09-20T09:48:00Z</dcterms:created>
  <dcterms:modified xsi:type="dcterms:W3CDTF">2023-09-21T08:53:00Z</dcterms:modified>
</cp:coreProperties>
</file>