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DA" w:rsidRDefault="002C7F8A" w:rsidP="00E024DA">
      <w:pPr>
        <w:rPr>
          <w:rFonts w:hint="eastAsia"/>
          <w:b/>
          <w:bCs/>
          <w:spacing w:val="12"/>
          <w:sz w:val="32"/>
          <w:szCs w:val="32"/>
        </w:rPr>
      </w:pPr>
      <w:r>
        <w:rPr>
          <w:rFonts w:hint="eastAsia"/>
          <w:b/>
          <w:bCs/>
          <w:spacing w:val="12"/>
          <w:sz w:val="32"/>
          <w:szCs w:val="32"/>
        </w:rPr>
        <w:t>第五部分</w:t>
      </w:r>
      <w:r w:rsidR="00E024DA">
        <w:rPr>
          <w:rFonts w:hint="eastAsia"/>
          <w:b/>
          <w:bCs/>
          <w:spacing w:val="12"/>
          <w:sz w:val="32"/>
          <w:szCs w:val="32"/>
        </w:rPr>
        <w:t>附件5</w:t>
      </w:r>
    </w:p>
    <w:p w:rsidR="002C7F8A" w:rsidRDefault="002C7F8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</w:p>
    <w:p w:rsidR="00E024DA" w:rsidRDefault="00E024DA" w:rsidP="00E024DA">
      <w:pPr>
        <w:jc w:val="center"/>
        <w:rPr>
          <w:rFonts w:ascii="黑体" w:eastAsia="黑体" w:hAnsi="黑体" w:cs="___WRD_EMBED_SUB_48"/>
          <w:color w:val="000000"/>
          <w:sz w:val="43"/>
          <w:szCs w:val="43"/>
        </w:rPr>
      </w:pPr>
      <w:r>
        <w:rPr>
          <w:rFonts w:ascii="黑体" w:eastAsia="黑体" w:hAnsi="黑体" w:hint="eastAsia"/>
          <w:color w:val="000000"/>
          <w:sz w:val="43"/>
          <w:szCs w:val="43"/>
        </w:rPr>
        <w:t>现代</w:t>
      </w:r>
      <w:r>
        <w:rPr>
          <w:rFonts w:ascii="黑体" w:eastAsia="黑体" w:hAnsi="黑体" w:cs="___WRD_EMBED_SUB_48" w:hint="eastAsia"/>
          <w:color w:val="000000"/>
          <w:sz w:val="43"/>
          <w:szCs w:val="43"/>
        </w:rPr>
        <w:t>职业教</w:t>
      </w:r>
      <w:r>
        <w:rPr>
          <w:rFonts w:ascii="黑体" w:eastAsia="黑体" w:hAnsi="黑体" w:hint="eastAsia"/>
          <w:color w:val="000000"/>
          <w:sz w:val="43"/>
          <w:szCs w:val="43"/>
        </w:rPr>
        <w:t>育</w:t>
      </w:r>
      <w:r>
        <w:rPr>
          <w:rFonts w:ascii="黑体" w:eastAsia="黑体" w:hAnsi="黑体" w:cs="___WRD_EMBED_SUB_48" w:hint="eastAsia"/>
          <w:color w:val="000000"/>
          <w:sz w:val="43"/>
          <w:szCs w:val="43"/>
        </w:rPr>
        <w:t>质</w:t>
      </w:r>
      <w:r>
        <w:rPr>
          <w:rFonts w:ascii="黑体" w:eastAsia="黑体" w:hAnsi="黑体" w:hint="eastAsia"/>
          <w:color w:val="000000"/>
          <w:sz w:val="43"/>
          <w:szCs w:val="43"/>
        </w:rPr>
        <w:t>量</w:t>
      </w:r>
      <w:r>
        <w:rPr>
          <w:rFonts w:ascii="黑体" w:eastAsia="黑体" w:hAnsi="黑体" w:cs="___WRD_EMBED_SUB_48" w:hint="eastAsia"/>
          <w:color w:val="000000"/>
          <w:sz w:val="43"/>
          <w:szCs w:val="43"/>
        </w:rPr>
        <w:t>提</w:t>
      </w:r>
      <w:r>
        <w:rPr>
          <w:rFonts w:ascii="黑体" w:eastAsia="黑体" w:hAnsi="黑体" w:hint="eastAsia"/>
          <w:color w:val="000000"/>
          <w:sz w:val="43"/>
          <w:szCs w:val="43"/>
        </w:rPr>
        <w:t>升</w:t>
      </w:r>
      <w:r>
        <w:rPr>
          <w:rFonts w:ascii="黑体" w:eastAsia="黑体" w:hAnsi="黑体" w:cs="___WRD_EMBED_SUB_48" w:hint="eastAsia"/>
          <w:color w:val="000000"/>
          <w:sz w:val="43"/>
          <w:szCs w:val="43"/>
        </w:rPr>
        <w:t>计划</w:t>
      </w:r>
    </w:p>
    <w:p w:rsidR="00E024DA" w:rsidRDefault="00E024DA" w:rsidP="00E024DA">
      <w:pPr>
        <w:jc w:val="center"/>
        <w:rPr>
          <w:rFonts w:ascii="黑体" w:eastAsia="黑体" w:hAnsi="黑体" w:cs="方正小标宋简体"/>
          <w:color w:val="000000"/>
          <w:sz w:val="43"/>
          <w:szCs w:val="43"/>
        </w:rPr>
      </w:pPr>
      <w:r>
        <w:rPr>
          <w:rFonts w:ascii="黑体" w:eastAsia="黑体" w:hAnsi="黑体" w:cs="方正小标宋简体" w:hint="eastAsia"/>
          <w:color w:val="000000"/>
          <w:sz w:val="43"/>
          <w:szCs w:val="43"/>
        </w:rPr>
        <w:t>202</w:t>
      </w:r>
      <w:r>
        <w:rPr>
          <w:rFonts w:ascii="黑体" w:eastAsia="黑体" w:hAnsi="黑体" w:cs="方正小标宋简体"/>
          <w:color w:val="000000"/>
          <w:sz w:val="43"/>
          <w:szCs w:val="43"/>
        </w:rPr>
        <w:t>2</w:t>
      </w:r>
      <w:r>
        <w:rPr>
          <w:rFonts w:ascii="黑体" w:eastAsia="黑体" w:hAnsi="黑体" w:cs="方正小标宋简体" w:hint="eastAsia"/>
          <w:color w:val="000000"/>
          <w:sz w:val="43"/>
          <w:szCs w:val="43"/>
        </w:rPr>
        <w:t>年度绩效目标自评报告</w:t>
      </w:r>
    </w:p>
    <w:p w:rsidR="00E024DA" w:rsidRDefault="00E024DA" w:rsidP="00E024DA">
      <w:pPr>
        <w:rPr>
          <w:rFonts w:ascii="仿宋_GB2312" w:hAnsi="仿宋_GB2312" w:cs="仿宋_GB2312"/>
          <w:color w:val="000000"/>
          <w:sz w:val="31"/>
          <w:szCs w:val="31"/>
        </w:rPr>
      </w:pPr>
    </w:p>
    <w:p w:rsidR="00E024DA" w:rsidRDefault="00E024DA" w:rsidP="00E024DA">
      <w:pPr>
        <w:rPr>
          <w:rFonts w:ascii="仿宋_GB2312" w:eastAsia="仿宋_GB2312" w:hAnsi="仿宋_GB2312" w:cs="仿宋_GB2312"/>
          <w:b/>
          <w:bCs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b/>
          <w:bCs/>
          <w:color w:val="000000"/>
          <w:sz w:val="31"/>
          <w:szCs w:val="31"/>
        </w:rPr>
        <w:t xml:space="preserve">一、绩效目标分解下达情况 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>（一）下达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现</w:t>
      </w:r>
      <w:r>
        <w:rPr>
          <w:rFonts w:hint="eastAsia"/>
          <w:color w:val="000000"/>
          <w:sz w:val="31"/>
          <w:szCs w:val="31"/>
        </w:rPr>
        <w:t>代</w:t>
      </w:r>
      <w:r>
        <w:rPr>
          <w:rFonts w:ascii="___WRD_EMBED_SUB_45" w:eastAsia="___WRD_EMBED_SUB_45" w:hAnsi="___WRD_EMBED_SUB_45" w:cs="___WRD_EMBED_SUB_45" w:hint="eastAsia"/>
          <w:color w:val="000000"/>
          <w:sz w:val="31"/>
          <w:szCs w:val="31"/>
        </w:rPr>
        <w:t>职业教</w:t>
      </w:r>
      <w:r>
        <w:rPr>
          <w:rFonts w:hint="eastAsia"/>
          <w:color w:val="000000"/>
          <w:sz w:val="31"/>
          <w:szCs w:val="31"/>
        </w:rPr>
        <w:t>育</w:t>
      </w:r>
      <w:r>
        <w:rPr>
          <w:rFonts w:ascii="___WRD_EMBED_SUB_45" w:eastAsia="___WRD_EMBED_SUB_45" w:hAnsi="___WRD_EMBED_SUB_45" w:cs="___WRD_EMBED_SUB_45" w:hint="eastAsia"/>
          <w:color w:val="000000"/>
          <w:sz w:val="31"/>
          <w:szCs w:val="31"/>
        </w:rPr>
        <w:t>质量提升计划（培训）</w:t>
      </w:r>
      <w:r>
        <w:rPr>
          <w:rFonts w:hint="eastAsia"/>
          <w:color w:val="000000"/>
          <w:sz w:val="31"/>
          <w:szCs w:val="31"/>
        </w:rPr>
        <w:t>预算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和绩效目标情况 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 xml:space="preserve">    全年总预算金额为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1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万元，主要用于教师</w:t>
      </w:r>
      <w:r>
        <w:rPr>
          <w:rFonts w:asciiTheme="minorEastAsia" w:hAnsiTheme="minorEastAsia" w:cs="仿宋_GB2312" w:hint="eastAsia"/>
          <w:color w:val="000000"/>
          <w:sz w:val="31"/>
          <w:szCs w:val="31"/>
        </w:rPr>
        <w:t>素质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提升。</w:t>
      </w:r>
    </w:p>
    <w:p w:rsidR="00E024DA" w:rsidRDefault="00E024DA" w:rsidP="00E024DA">
      <w:pPr>
        <w:numPr>
          <w:ilvl w:val="0"/>
          <w:numId w:val="1"/>
        </w:num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分解下达预算和绩效目标情况 </w:t>
      </w:r>
    </w:p>
    <w:p w:rsidR="00E024DA" w:rsidRDefault="00E024DA" w:rsidP="00E024DA">
      <w:pPr>
        <w:ind w:firstLineChars="100" w:firstLine="31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1.教师素质提高培训，预算资金0.14万元。</w:t>
      </w:r>
    </w:p>
    <w:p w:rsidR="00E024DA" w:rsidRDefault="00E024DA" w:rsidP="00E024DA">
      <w:pPr>
        <w:ind w:firstLineChars="100" w:firstLine="31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2.思政教师专题培训，预算资金0.57万元。</w:t>
      </w:r>
    </w:p>
    <w:p w:rsidR="00E024DA" w:rsidRDefault="00E024DA" w:rsidP="00E024DA">
      <w:pPr>
        <w:ind w:firstLineChars="100" w:firstLine="31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3.教师访学研修，预算资金0.16万元。</w:t>
      </w:r>
    </w:p>
    <w:p w:rsidR="00E024DA" w:rsidRDefault="00E024DA" w:rsidP="00E024DA">
      <w:pPr>
        <w:ind w:firstLineChars="100" w:firstLine="31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4.教师参加国培，预算资金0.13万元。</w:t>
      </w:r>
    </w:p>
    <w:p w:rsidR="00E024DA" w:rsidRDefault="00E024DA" w:rsidP="00E024DA">
      <w:pPr>
        <w:rPr>
          <w:rFonts w:ascii="仿宋_GB2312" w:eastAsia="仿宋_GB2312" w:hAnsi="仿宋_GB2312" w:cs="仿宋_GB2312"/>
          <w:b/>
          <w:bCs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b/>
          <w:bCs/>
          <w:color w:val="000000"/>
          <w:sz w:val="31"/>
          <w:szCs w:val="31"/>
        </w:rPr>
        <w:t xml:space="preserve">二、绩效目标完成情况分析 </w:t>
      </w:r>
    </w:p>
    <w:p w:rsidR="00E024DA" w:rsidRDefault="00E024DA" w:rsidP="00E024DA"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（一）资金投入情况分析 </w:t>
      </w:r>
    </w:p>
    <w:p w:rsidR="00E024DA" w:rsidRDefault="00E024DA" w:rsidP="00E024DA">
      <w:pPr>
        <w:ind w:firstLineChars="100" w:firstLine="31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1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．项目资金到位情况分析</w:t>
      </w:r>
    </w:p>
    <w:p w:rsidR="00E024DA" w:rsidRDefault="00E024DA" w:rsidP="00E024DA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所需项目资金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1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万元，全部安排到位。</w:t>
      </w:r>
    </w:p>
    <w:p w:rsidR="00E024DA" w:rsidRDefault="00E024DA" w:rsidP="00E024DA">
      <w:pPr>
        <w:ind w:firstLineChars="100" w:firstLine="31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2.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项目资金执行情况分析</w:t>
      </w:r>
    </w:p>
    <w:p w:rsidR="00E024DA" w:rsidRDefault="00E024DA" w:rsidP="00E024DA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项目资金按预算执行到位，资金使用率100%。</w:t>
      </w:r>
    </w:p>
    <w:p w:rsidR="00E024DA" w:rsidRDefault="00E024DA" w:rsidP="00E024DA">
      <w:pPr>
        <w:numPr>
          <w:ilvl w:val="0"/>
          <w:numId w:val="3"/>
        </w:numPr>
        <w:ind w:firstLineChars="100" w:firstLine="31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>项目资金管理情况分析</w:t>
      </w:r>
    </w:p>
    <w:p w:rsidR="00E024DA" w:rsidRDefault="00E024DA" w:rsidP="00E024DA">
      <w:pPr>
        <w:ind w:firstLineChars="200" w:firstLine="620"/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lastRenderedPageBreak/>
        <w:t>项目经费坚持专款专用原则，规范管理，注重效益、强化项目监管，确保项目实现预期目标目标与效益。</w:t>
      </w:r>
    </w:p>
    <w:p w:rsidR="00E024DA" w:rsidRDefault="00E024DA" w:rsidP="00E024DA">
      <w:r>
        <w:rPr>
          <w:rFonts w:ascii="仿宋_GB2312" w:eastAsia="仿宋_GB2312" w:hAnsi="仿宋_GB2312" w:cs="仿宋_GB2312"/>
          <w:color w:val="000000"/>
          <w:sz w:val="31"/>
          <w:szCs w:val="31"/>
        </w:rPr>
        <w:t>（二）绩效目标完成情况分析</w:t>
      </w:r>
      <w:r>
        <w:rPr>
          <w:rFonts w:ascii="Times New Roman" w:hAnsi="Times New Roman" w:cs="Times New Roman"/>
          <w:color w:val="000000"/>
          <w:sz w:val="31"/>
          <w:szCs w:val="31"/>
        </w:rPr>
        <w:t>(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根据年初绩效目标及指标逐项分析</w:t>
      </w:r>
      <w:r>
        <w:rPr>
          <w:rFonts w:ascii="Times New Roman" w:hAnsi="Times New Roman" w:cs="Times New Roman"/>
          <w:color w:val="000000"/>
          <w:sz w:val="31"/>
          <w:szCs w:val="31"/>
        </w:rPr>
        <w:t xml:space="preserve">) </w:t>
      </w:r>
    </w:p>
    <w:p w:rsidR="00E024DA" w:rsidRDefault="00E024DA" w:rsidP="00E024DA">
      <w:r>
        <w:rPr>
          <w:rFonts w:ascii="Times New Roman" w:hAnsi="Times New Roman" w:cs="Times New Roman"/>
          <w:color w:val="000000"/>
          <w:sz w:val="31"/>
          <w:szCs w:val="31"/>
        </w:rPr>
        <w:t>1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．产出指标完成情况分析 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 w:hint="eastAsia"/>
          <w:color w:val="000000"/>
          <w:sz w:val="31"/>
          <w:szCs w:val="31"/>
        </w:rPr>
        <w:t>（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1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）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数量指标 </w:t>
      </w:r>
    </w:p>
    <w:p w:rsidR="00E024DA" w:rsidRDefault="00E024DA" w:rsidP="00E024DA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安排刘弦、仇洁丽两位教师参加了素质提高培训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2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人次。</w:t>
      </w:r>
    </w:p>
    <w:p w:rsidR="00E024DA" w:rsidRDefault="00E024DA" w:rsidP="00E024DA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组织龙轶学、岳海和陈飞三位新进思政教师参加专题培训3人次；组织陈飞老师参加思教研修班、骨干教师培训1人次；</w:t>
      </w:r>
    </w:p>
    <w:p w:rsidR="00E024DA" w:rsidRDefault="00E024DA" w:rsidP="00E024DA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组织陈凯老师参加参加工业机器人教师访学研修1人次；</w:t>
      </w:r>
    </w:p>
    <w:p w:rsidR="00E024DA" w:rsidRDefault="00E024DA" w:rsidP="00E024DA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组织曾钦老师参加高职电子信息类教师企业实践1人次；</w:t>
      </w:r>
    </w:p>
    <w:p w:rsidR="00E024DA" w:rsidRDefault="00E024DA" w:rsidP="00E024DA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组织曾钦、耿运涛和岳海三位教师参加了职院教师国培3人次。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 w:hint="eastAsia"/>
          <w:color w:val="000000"/>
          <w:sz w:val="31"/>
          <w:szCs w:val="31"/>
        </w:rPr>
        <w:t>（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2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）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质量指标 </w:t>
      </w:r>
    </w:p>
    <w:p w:rsidR="00E024DA" w:rsidRDefault="00E024DA" w:rsidP="00E024DA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教师素质提高培训人数和次数，达到预定任务，完成率100%。</w:t>
      </w:r>
    </w:p>
    <w:p w:rsidR="00E024DA" w:rsidRDefault="00E024DA" w:rsidP="00E024DA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思政教师专题培训人数和次数，达到预定任务，完成率100%。</w:t>
      </w:r>
    </w:p>
    <w:p w:rsidR="00E024DA" w:rsidRDefault="00E024DA" w:rsidP="00E024DA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教师访学研修人数和次数，达到预定任务，完成率100%。</w:t>
      </w:r>
    </w:p>
    <w:p w:rsidR="00E024DA" w:rsidRDefault="00E024DA" w:rsidP="00E024DA">
      <w:pPr>
        <w:pStyle w:val="a3"/>
        <w:numPr>
          <w:ilvl w:val="0"/>
          <w:numId w:val="2"/>
        </w:numPr>
        <w:ind w:firstLineChars="0"/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教师参加国培人数和次数，达到预定任务，完成率100%。</w:t>
      </w:r>
    </w:p>
    <w:p w:rsidR="00E024DA" w:rsidRDefault="00E024DA" w:rsidP="00E024DA">
      <w:pPr>
        <w:numPr>
          <w:ilvl w:val="0"/>
          <w:numId w:val="4"/>
        </w:num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时效指标 </w:t>
      </w:r>
    </w:p>
    <w:p w:rsidR="00E024DA" w:rsidRDefault="00E024DA" w:rsidP="00E024DA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在2022年1-10月，就完成了教师素质提高培训、思政教师专题培训、教师访学研修和国培人数和次数。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 w:hint="eastAsia"/>
          <w:color w:val="000000"/>
          <w:sz w:val="31"/>
          <w:szCs w:val="31"/>
        </w:rPr>
        <w:lastRenderedPageBreak/>
        <w:t>（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4</w:t>
      </w:r>
      <w:r>
        <w:rPr>
          <w:rFonts w:ascii="Times New Roman" w:hAnsi="Times New Roman" w:cs="Times New Roman" w:hint="eastAsia"/>
          <w:color w:val="000000"/>
          <w:sz w:val="31"/>
          <w:szCs w:val="31"/>
        </w:rPr>
        <w:t>）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成本指标 </w:t>
      </w:r>
    </w:p>
    <w:p w:rsidR="00E024DA" w:rsidRDefault="00E024DA" w:rsidP="00E024DA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按计划完成现代职业教育质量提升计划-培训任务，成本1万元。</w:t>
      </w:r>
    </w:p>
    <w:p w:rsidR="00E024DA" w:rsidRDefault="00E024DA" w:rsidP="00E024DA">
      <w:r>
        <w:rPr>
          <w:rFonts w:ascii="Times New Roman" w:hAnsi="Times New Roman" w:cs="Times New Roman"/>
          <w:color w:val="000000"/>
          <w:sz w:val="31"/>
          <w:szCs w:val="31"/>
        </w:rPr>
        <w:t>2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．效益指标完成情况分析 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(1)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经济效益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 xml:space="preserve">     无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(2)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社会效益 </w:t>
      </w:r>
    </w:p>
    <w:p w:rsidR="00E024DA" w:rsidRDefault="00E024DA" w:rsidP="00E024DA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参加教师素质培训的老师和新进思政教师的能力，都有得到提升，达到了预期目标。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 xml:space="preserve"> (3)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生态效益 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 xml:space="preserve">     无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(4)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可持续影响 </w:t>
      </w:r>
    </w:p>
    <w:p w:rsidR="00E024DA" w:rsidRDefault="00E024DA" w:rsidP="00E024DA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教师素质提升，有利于教师更好的实施教学，提高教学质量和教学效果。新进思政教师通过培训，便于把思政元素更好的融入课堂。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3.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满意度指标完成情况分析 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教师素养得以提高，教师对本次培训的满意度达到100%。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三、偏离绩效目标的原因和下一步改进措施 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无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四、绩效自评结果拟应用和公开情况 </w:t>
      </w:r>
    </w:p>
    <w:p w:rsidR="00E024DA" w:rsidRDefault="00E024DA" w:rsidP="00E024DA">
      <w:pPr>
        <w:ind w:firstLineChars="182" w:firstLine="564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绩效自评结果拟在一定范围内适度公开。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五、其他需要说明的问题</w:t>
      </w:r>
    </w:p>
    <w:p w:rsidR="00E024DA" w:rsidRDefault="00E024DA" w:rsidP="00E024DA">
      <w:pPr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lastRenderedPageBreak/>
        <w:t>无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六、附件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转移支付区域（项目）绩效目标自评表</w:t>
      </w:r>
    </w:p>
    <w:p w:rsidR="00E024DA" w:rsidRDefault="00E024DA" w:rsidP="00E024DA">
      <w:pPr>
        <w:rPr>
          <w:rFonts w:ascii="仿宋_GB2312" w:eastAsia="仿宋_GB2312" w:hAnsi="仿宋_GB2312" w:cs="仿宋_GB2312"/>
          <w:color w:val="000000"/>
          <w:sz w:val="31"/>
          <w:szCs w:val="31"/>
        </w:rPr>
      </w:pPr>
    </w:p>
    <w:p w:rsidR="00E024DA" w:rsidRDefault="00E024DA" w:rsidP="00E024DA">
      <w:pPr>
        <w:jc w:val="righ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邵阳职业技术学院</w:t>
      </w:r>
    </w:p>
    <w:p w:rsidR="00E024DA" w:rsidRDefault="00E024DA" w:rsidP="00E024DA">
      <w:pPr>
        <w:jc w:val="right"/>
        <w:rPr>
          <w:rFonts w:ascii="仿宋_GB2312" w:eastAsia="仿宋_GB2312" w:hAnsi="仿宋_GB2312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202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3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年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4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月</w:t>
      </w:r>
      <w:r>
        <w:rPr>
          <w:rFonts w:ascii="仿宋_GB2312" w:hAnsi="仿宋_GB2312" w:cs="仿宋_GB2312" w:hint="eastAsia"/>
          <w:color w:val="000000"/>
          <w:sz w:val="31"/>
          <w:szCs w:val="31"/>
        </w:rPr>
        <w:t>1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9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日</w:t>
      </w:r>
    </w:p>
    <w:tbl>
      <w:tblPr>
        <w:tblW w:w="9260" w:type="dxa"/>
        <w:jc w:val="center"/>
        <w:tblLayout w:type="fixed"/>
        <w:tblLook w:val="04A0"/>
      </w:tblPr>
      <w:tblGrid>
        <w:gridCol w:w="528"/>
        <w:gridCol w:w="436"/>
        <w:gridCol w:w="656"/>
        <w:gridCol w:w="1877"/>
        <w:gridCol w:w="1247"/>
        <w:gridCol w:w="1083"/>
        <w:gridCol w:w="1347"/>
        <w:gridCol w:w="377"/>
        <w:gridCol w:w="808"/>
        <w:gridCol w:w="901"/>
      </w:tblGrid>
      <w:tr w:rsidR="00E024DA" w:rsidTr="005A1087">
        <w:trPr>
          <w:trHeight w:val="432"/>
          <w:jc w:val="center"/>
        </w:trPr>
        <w:tc>
          <w:tcPr>
            <w:tcW w:w="926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024DA" w:rsidRDefault="00E024DA" w:rsidP="005A1087">
            <w:pPr>
              <w:jc w:val="center"/>
              <w:textAlignment w:val="top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邵阳职院现代</w:t>
            </w:r>
            <w:r>
              <w:rPr>
                <w:rFonts w:ascii="黑体" w:eastAsia="黑体" w:hAnsi="黑体" w:cs="___WRD_EMBED_SUB_48" w:hint="eastAsia"/>
                <w:color w:val="000000"/>
                <w:sz w:val="44"/>
                <w:szCs w:val="44"/>
              </w:rPr>
              <w:t>职业教</w:t>
            </w:r>
            <w:r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育</w:t>
            </w:r>
            <w:r>
              <w:rPr>
                <w:rFonts w:ascii="黑体" w:eastAsia="黑体" w:hAnsi="黑体" w:cs="___WRD_EMBED_SUB_48" w:hint="eastAsia"/>
                <w:color w:val="000000"/>
                <w:sz w:val="44"/>
                <w:szCs w:val="44"/>
              </w:rPr>
              <w:t>质</w:t>
            </w:r>
            <w:r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量</w:t>
            </w:r>
            <w:r>
              <w:rPr>
                <w:rFonts w:ascii="黑体" w:eastAsia="黑体" w:hAnsi="黑体" w:cs="___WRD_EMBED_SUB_48" w:hint="eastAsia"/>
                <w:color w:val="000000"/>
                <w:sz w:val="44"/>
                <w:szCs w:val="44"/>
              </w:rPr>
              <w:t>提</w:t>
            </w:r>
            <w:r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升</w:t>
            </w:r>
            <w:r>
              <w:rPr>
                <w:rFonts w:ascii="黑体" w:eastAsia="黑体" w:hAnsi="黑体" w:cs="___WRD_EMBED_SUB_48" w:hint="eastAsia"/>
                <w:color w:val="000000"/>
                <w:sz w:val="44"/>
                <w:szCs w:val="44"/>
              </w:rPr>
              <w:t>计划（培训）绩效目标自评表</w:t>
            </w:r>
          </w:p>
          <w:p w:rsidR="00E024DA" w:rsidRDefault="00E024DA" w:rsidP="005A1087">
            <w:pPr>
              <w:jc w:val="center"/>
              <w:textAlignment w:val="top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（2022年度）</w:t>
            </w:r>
          </w:p>
        </w:tc>
      </w:tr>
      <w:tr w:rsidR="00E024DA" w:rsidTr="005A1087">
        <w:trPr>
          <w:trHeight w:val="552"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转移支付</w:t>
            </w:r>
          </w:p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（项目）名称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现代职业教育质量提升计划（培训）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负责人及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阳巧梅13973569837</w:t>
            </w:r>
          </w:p>
        </w:tc>
      </w:tr>
      <w:tr w:rsidR="00E024DA" w:rsidTr="005A1087">
        <w:trPr>
          <w:trHeight w:val="323"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中央主管部门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323"/>
          <w:jc w:val="center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地方主管部门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邵阳市人民政府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实施单位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邵阳职业技术学院</w:t>
            </w:r>
          </w:p>
        </w:tc>
      </w:tr>
      <w:tr w:rsidR="00E024DA" w:rsidTr="005A1087">
        <w:trPr>
          <w:trHeight w:val="323"/>
          <w:jc w:val="center"/>
        </w:trPr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项目资金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（万元）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全年预算数（A）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全年执行数（B）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预算执行率（B/A)</w:t>
            </w:r>
          </w:p>
        </w:tc>
      </w:tr>
      <w:tr w:rsidR="00E024DA" w:rsidTr="005A1087">
        <w:trPr>
          <w:trHeight w:val="323"/>
          <w:jc w:val="center"/>
        </w:trPr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年度资金总额：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100%</w:t>
            </w:r>
          </w:p>
        </w:tc>
      </w:tr>
      <w:tr w:rsidR="00E024DA" w:rsidTr="005A1087">
        <w:trPr>
          <w:trHeight w:val="323"/>
          <w:jc w:val="center"/>
        </w:trPr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其中：中央补助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100%</w:t>
            </w:r>
          </w:p>
        </w:tc>
      </w:tr>
      <w:tr w:rsidR="00E024DA" w:rsidTr="005A1087">
        <w:trPr>
          <w:trHeight w:val="323"/>
          <w:jc w:val="center"/>
        </w:trPr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     地方资金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323"/>
          <w:jc w:val="center"/>
        </w:trPr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其他资金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323"/>
          <w:jc w:val="center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年度总体目标</w:t>
            </w: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年初设定目标</w:t>
            </w:r>
          </w:p>
        </w:tc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全年实际完成情况</w:t>
            </w:r>
          </w:p>
        </w:tc>
      </w:tr>
      <w:tr w:rsidR="00E024DA" w:rsidTr="005A1087">
        <w:trPr>
          <w:trHeight w:val="760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做好</w:t>
            </w: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专任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教师素质提升与</w:t>
            </w: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思想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政治</w:t>
            </w: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老师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能力提升培训</w:t>
            </w:r>
          </w:p>
        </w:tc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全部完成项目培训，达成培训预期目标</w:t>
            </w:r>
          </w:p>
        </w:tc>
      </w:tr>
      <w:tr w:rsidR="00E024DA" w:rsidTr="005A1087">
        <w:trPr>
          <w:trHeight w:val="580"/>
          <w:jc w:val="center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绩效指标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一级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指标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三级指标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年度指标值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全年完成值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未完成原因和改进措施</w:t>
            </w: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产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出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指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标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数量指标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教师素质提高培训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思政教师专题培训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教师访学研修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国培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336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质量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lastRenderedPageBreak/>
              <w:t>指标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lastRenderedPageBreak/>
              <w:t>教师素质提高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思政教师能力提高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教师访学研修，完成任务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国培，完成培训任务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时效指标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教师素质提高培训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如期完成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新进思政教师专题培训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如期完成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教师访学研修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如期完成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国培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如期完成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成本指标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教师素质提高培训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思政教师专题培训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.57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.57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教师访学研修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国培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效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益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指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标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经济效益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指标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社会效益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指标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提高教师教育教学能力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进一步提升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达成目标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提高思政教师教育教学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能力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进一步提升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达成目标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生态效益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指标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90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可持续影响指标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有利于教师教育教学能力提升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更好的实施教学，提高教学质量和教学效果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达成目标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有利于思政教师教育教学能力提升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便于把思政元素更好的融入课堂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达成目标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263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425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服务对象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br/>
              <w:t>满意度指标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教师素质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提升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满意度100%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达成目标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505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思政教师能力提升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满意度100%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达成目标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360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:rsidR="00E024DA" w:rsidTr="005A1087">
        <w:trPr>
          <w:trHeight w:val="323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说明</w:t>
            </w:r>
          </w:p>
        </w:tc>
        <w:tc>
          <w:tcPr>
            <w:tcW w:w="8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4DA" w:rsidRDefault="00E024DA" w:rsidP="005A1087">
            <w:pPr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无</w:t>
            </w:r>
          </w:p>
        </w:tc>
      </w:tr>
      <w:tr w:rsidR="00E024DA" w:rsidTr="005A1087">
        <w:trPr>
          <w:trHeight w:val="360"/>
          <w:jc w:val="center"/>
        </w:trPr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24DA" w:rsidRDefault="00E024DA" w:rsidP="005A1087">
            <w:pPr>
              <w:textAlignment w:val="bottom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注：1.资金使用单位按项目绩效目标填报，主管部门汇总时按区域绩效目标汇报。</w:t>
            </w:r>
          </w:p>
        </w:tc>
      </w:tr>
      <w:tr w:rsidR="00E024DA" w:rsidTr="005A1087">
        <w:trPr>
          <w:trHeight w:val="540"/>
          <w:jc w:val="center"/>
        </w:trPr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24DA" w:rsidRDefault="00E024DA" w:rsidP="005A1087">
            <w:pPr>
              <w:textAlignment w:val="bottom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 xml:space="preserve">    2.其他资金包括和中央补助、地方财政资金共同投入到同一项目的自有资金、社会资金，以及以前年度的结转结余资金等。</w:t>
            </w:r>
          </w:p>
        </w:tc>
      </w:tr>
      <w:tr w:rsidR="00E024DA" w:rsidTr="005A1087">
        <w:trPr>
          <w:trHeight w:val="510"/>
          <w:jc w:val="center"/>
        </w:trPr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24DA" w:rsidRDefault="00E024DA" w:rsidP="005A1087">
            <w:pPr>
              <w:textAlignment w:val="bottom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 xml:space="preserve">    3.定量指标，资金使用单位填写本地区实际完成数。财政和主管部门汇总时，对绝对值直接累加计算，相对值按照资金额度加权平均计算。</w:t>
            </w:r>
          </w:p>
        </w:tc>
      </w:tr>
      <w:tr w:rsidR="00E024DA" w:rsidTr="005A1087">
        <w:trPr>
          <w:trHeight w:val="240"/>
          <w:jc w:val="center"/>
        </w:trPr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24DA" w:rsidRDefault="00E024DA" w:rsidP="005A1087">
            <w:pPr>
              <w:textAlignment w:val="bottom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 xml:space="preserve">    4.定性指标根据指标完成情况分为：全部或基本达成预期指标、部分达成预期指标并具有一定效果、未达成预期指标且效果较差三档，分别按照100%-80%（含）、80%-60%（含）、60-0%合理填写完成比例。</w:t>
            </w:r>
          </w:p>
        </w:tc>
      </w:tr>
      <w:tr w:rsidR="00E024DA" w:rsidTr="005A1087">
        <w:trPr>
          <w:trHeight w:val="270"/>
          <w:jc w:val="center"/>
        </w:trPr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24DA" w:rsidRDefault="00E024DA" w:rsidP="005A1087">
            <w:pPr>
              <w:textAlignment w:val="bottom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font91"/>
              </w:rPr>
              <w:t xml:space="preserve">   5.资金使用单位按项目填报，主管部门和财政部门汇总时按区域绩效目标填报。</w:t>
            </w:r>
          </w:p>
        </w:tc>
      </w:tr>
    </w:tbl>
    <w:p w:rsidR="001E1E2D" w:rsidRPr="00E024DA" w:rsidRDefault="001E1E2D"/>
    <w:sectPr w:rsidR="001E1E2D" w:rsidRPr="00E024DA" w:rsidSect="001E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BF3" w:rsidRDefault="009E3BF3" w:rsidP="002C7F8A">
      <w:r>
        <w:separator/>
      </w:r>
    </w:p>
  </w:endnote>
  <w:endnote w:type="continuationSeparator" w:id="1">
    <w:p w:rsidR="009E3BF3" w:rsidRDefault="009E3BF3" w:rsidP="002C7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8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___WRD_EMBED_SUB_45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BF3" w:rsidRDefault="009E3BF3" w:rsidP="002C7F8A">
      <w:r>
        <w:separator/>
      </w:r>
    </w:p>
  </w:footnote>
  <w:footnote w:type="continuationSeparator" w:id="1">
    <w:p w:rsidR="009E3BF3" w:rsidRDefault="009E3BF3" w:rsidP="002C7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0354F6"/>
    <w:multiLevelType w:val="singleLevel"/>
    <w:tmpl w:val="A10354F6"/>
    <w:lvl w:ilvl="0">
      <w:start w:val="3"/>
      <w:numFmt w:val="decimal"/>
      <w:suff w:val="nothing"/>
      <w:lvlText w:val="（%1）"/>
      <w:lvlJc w:val="left"/>
    </w:lvl>
  </w:abstractNum>
  <w:abstractNum w:abstractNumId="1">
    <w:nsid w:val="D559A676"/>
    <w:multiLevelType w:val="singleLevel"/>
    <w:tmpl w:val="D559A67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892C9F4"/>
    <w:multiLevelType w:val="singleLevel"/>
    <w:tmpl w:val="4892C9F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5190B18"/>
    <w:multiLevelType w:val="multilevel"/>
    <w:tmpl w:val="75190B18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4DA"/>
    <w:rsid w:val="001E1E2D"/>
    <w:rsid w:val="002C7F8A"/>
    <w:rsid w:val="004C54E1"/>
    <w:rsid w:val="009E3BF3"/>
    <w:rsid w:val="00E0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D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24DA"/>
    <w:pPr>
      <w:ind w:firstLineChars="200" w:firstLine="420"/>
    </w:pPr>
  </w:style>
  <w:style w:type="character" w:customStyle="1" w:styleId="font91">
    <w:name w:val="font91"/>
    <w:basedOn w:val="a0"/>
    <w:qFormat/>
    <w:rsid w:val="00E024DA"/>
    <w:rPr>
      <w:rFonts w:ascii="仿宋_GB2312" w:eastAsia="仿宋_GB2312" w:cs="仿宋_GB2312" w:hint="default"/>
      <w:color w:val="000000"/>
      <w:sz w:val="20"/>
      <w:szCs w:val="2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2C7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7F8A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7F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7F8A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2023-09-20T09:50:00Z</dcterms:created>
  <dcterms:modified xsi:type="dcterms:W3CDTF">2023-09-21T08:54:00Z</dcterms:modified>
</cp:coreProperties>
</file>